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A252B0" w14:textId="71223D60" w:rsidR="008F0DE2" w:rsidRDefault="005E1B88" w:rsidP="005B1004">
      <w:r>
        <w:t xml:space="preserve">In the County Court at </w:t>
      </w:r>
      <w:r w:rsidR="003509D3" w:rsidRPr="003509D3">
        <w:rPr>
          <w:b/>
          <w:bCs/>
        </w:rPr>
        <w:t>xxxxx</w:t>
      </w:r>
    </w:p>
    <w:p w14:paraId="483FB622" w14:textId="7780C9F1" w:rsidR="005E1B88" w:rsidRDefault="005E1B88" w:rsidP="005B1004">
      <w:r>
        <w:t xml:space="preserve">Claim No. </w:t>
      </w:r>
      <w:r w:rsidR="003509D3" w:rsidRPr="003509D3">
        <w:rPr>
          <w:b/>
          <w:bCs/>
        </w:rPr>
        <w:t>xxxxxx</w:t>
      </w:r>
    </w:p>
    <w:p w14:paraId="6B382A8B" w14:textId="191C3588" w:rsidR="005E1B88" w:rsidRDefault="005E1B88" w:rsidP="005B1004">
      <w:pPr>
        <w:jc w:val="center"/>
      </w:pPr>
      <w:r>
        <w:t>Between</w:t>
      </w:r>
    </w:p>
    <w:p w14:paraId="4A16AA8D" w14:textId="3E464152" w:rsidR="005E1B88" w:rsidRPr="003509D3" w:rsidRDefault="005B1004" w:rsidP="005B1004">
      <w:pPr>
        <w:jc w:val="center"/>
        <w:rPr>
          <w:b/>
          <w:bCs/>
        </w:rPr>
      </w:pPr>
      <w:r w:rsidRPr="003509D3">
        <w:rPr>
          <w:b/>
          <w:bCs/>
        </w:rPr>
        <w:t>X</w:t>
      </w:r>
      <w:r w:rsidR="003509D3" w:rsidRPr="003509D3">
        <w:rPr>
          <w:b/>
          <w:bCs/>
        </w:rPr>
        <w:t>xxxxxxx</w:t>
      </w:r>
      <w:r>
        <w:rPr>
          <w:b/>
          <w:bCs/>
        </w:rPr>
        <w:t xml:space="preserve"> (Claimant)</w:t>
      </w:r>
    </w:p>
    <w:p w14:paraId="3D559E96" w14:textId="1B107FF6" w:rsidR="005E1B88" w:rsidRDefault="005E1B88" w:rsidP="005B1004">
      <w:pPr>
        <w:jc w:val="center"/>
      </w:pPr>
      <w:r>
        <w:t>And</w:t>
      </w:r>
    </w:p>
    <w:p w14:paraId="452B1CE9" w14:textId="2EF21629" w:rsidR="005E1B88" w:rsidRPr="003509D3" w:rsidRDefault="005B1004" w:rsidP="005B1004">
      <w:pPr>
        <w:jc w:val="center"/>
        <w:rPr>
          <w:b/>
          <w:bCs/>
        </w:rPr>
      </w:pPr>
      <w:r w:rsidRPr="003509D3">
        <w:rPr>
          <w:b/>
          <w:bCs/>
        </w:rPr>
        <w:t>X</w:t>
      </w:r>
      <w:r w:rsidR="005E1B88" w:rsidRPr="003509D3">
        <w:rPr>
          <w:b/>
          <w:bCs/>
        </w:rPr>
        <w:t>xxxx</w:t>
      </w:r>
      <w:r>
        <w:rPr>
          <w:b/>
          <w:bCs/>
        </w:rPr>
        <w:t xml:space="preserve"> (Defendant)</w:t>
      </w:r>
    </w:p>
    <w:p w14:paraId="3CE4902D" w14:textId="6BFFCDD6" w:rsidR="005E1B88" w:rsidRDefault="005E1B88" w:rsidP="005B1004">
      <w:pPr>
        <w:jc w:val="center"/>
      </w:pPr>
    </w:p>
    <w:p w14:paraId="4F88755D" w14:textId="0824769A" w:rsidR="005E1B88" w:rsidRPr="005B1004" w:rsidRDefault="005E1B88" w:rsidP="005B1004">
      <w:pPr>
        <w:jc w:val="center"/>
        <w:rPr>
          <w:b/>
          <w:bCs/>
        </w:rPr>
      </w:pPr>
      <w:r w:rsidRPr="005B1004">
        <w:rPr>
          <w:b/>
          <w:bCs/>
        </w:rPr>
        <w:t>Witness Statement</w:t>
      </w:r>
      <w:r w:rsidR="005B1004" w:rsidRPr="005B1004">
        <w:rPr>
          <w:b/>
          <w:bCs/>
        </w:rPr>
        <w:t xml:space="preserve"> for Telephone Hearing on xx/xx/xxxx</w:t>
      </w:r>
    </w:p>
    <w:p w14:paraId="062EC2CA" w14:textId="4AF3781A" w:rsidR="005E1B88" w:rsidRDefault="005E1B88"/>
    <w:p w14:paraId="04F47332" w14:textId="76A02050" w:rsidR="00132277" w:rsidRDefault="005E1B88" w:rsidP="00132277">
      <w:pPr>
        <w:pStyle w:val="ListParagraph"/>
        <w:numPr>
          <w:ilvl w:val="0"/>
          <w:numId w:val="1"/>
        </w:numPr>
      </w:pPr>
      <w:r>
        <w:t xml:space="preserve">I am </w:t>
      </w:r>
      <w:r w:rsidRPr="005E1B88">
        <w:rPr>
          <w:b/>
          <w:bCs/>
        </w:rPr>
        <w:t>xxx xxx</w:t>
      </w:r>
      <w:r>
        <w:t>, of [</w:t>
      </w:r>
      <w:r w:rsidRPr="005E1B88">
        <w:rPr>
          <w:b/>
          <w:bCs/>
        </w:rPr>
        <w:t>Address</w:t>
      </w:r>
      <w:r>
        <w:t>], [</w:t>
      </w:r>
      <w:r w:rsidRPr="005E1B88">
        <w:rPr>
          <w:b/>
          <w:bCs/>
        </w:rPr>
        <w:t>Postcode</w:t>
      </w:r>
      <w:r>
        <w:t xml:space="preserve">], the Defendant </w:t>
      </w:r>
      <w:r w:rsidR="005B1004" w:rsidRPr="005B1004">
        <w:t>against whom this claim is made</w:t>
      </w:r>
      <w:r>
        <w:t>. I will say as follows:</w:t>
      </w:r>
    </w:p>
    <w:p w14:paraId="780495C5" w14:textId="77777777" w:rsidR="00132277" w:rsidRDefault="00132277" w:rsidP="00132277">
      <w:pPr>
        <w:ind w:left="360"/>
      </w:pPr>
    </w:p>
    <w:p w14:paraId="3A0240D0" w14:textId="69E58332" w:rsidR="00132277" w:rsidRDefault="00132277" w:rsidP="00132277">
      <w:pPr>
        <w:pStyle w:val="ListParagraph"/>
        <w:numPr>
          <w:ilvl w:val="0"/>
          <w:numId w:val="1"/>
        </w:numPr>
      </w:pPr>
      <w:r>
        <w:t xml:space="preserve">My defence is repeated </w:t>
      </w:r>
      <w:r w:rsidR="00280E3B">
        <w:t>and I was the Driver of the vehicle at the time of the contravention alleged by the Claimant. However, I argue in this Witness Statement that there was no contract entered into between the Defendant and Claimant</w:t>
      </w:r>
      <w:r w:rsidR="001B017D">
        <w:t>.</w:t>
      </w:r>
    </w:p>
    <w:p w14:paraId="24E71465" w14:textId="77777777" w:rsidR="00DA4BF9" w:rsidRDefault="00DA4BF9" w:rsidP="00DA4BF9"/>
    <w:p w14:paraId="5D24DAAA" w14:textId="4E5618B7" w:rsidR="00DA4BF9" w:rsidRPr="00DA4BF9" w:rsidRDefault="00DA4BF9" w:rsidP="00DA4BF9">
      <w:pPr>
        <w:rPr>
          <w:b/>
          <w:bCs/>
          <w:u w:val="single"/>
        </w:rPr>
      </w:pPr>
      <w:r>
        <w:rPr>
          <w:b/>
          <w:bCs/>
          <w:u w:val="single"/>
        </w:rPr>
        <w:t>N</w:t>
      </w:r>
      <w:r w:rsidRPr="00DA4BF9">
        <w:rPr>
          <w:b/>
          <w:bCs/>
          <w:u w:val="single"/>
        </w:rPr>
        <w:t>o contract seen or agreed</w:t>
      </w:r>
    </w:p>
    <w:p w14:paraId="58E24F08" w14:textId="77777777" w:rsidR="001B017D" w:rsidRDefault="001B017D" w:rsidP="00DA4BF9">
      <w:pPr>
        <w:ind w:left="360"/>
      </w:pPr>
    </w:p>
    <w:p w14:paraId="331572CF" w14:textId="3B9E01FE" w:rsidR="001B017D" w:rsidRDefault="00DA4BF9" w:rsidP="00132277">
      <w:pPr>
        <w:pStyle w:val="ListParagraph"/>
        <w:numPr>
          <w:ilvl w:val="0"/>
          <w:numId w:val="1"/>
        </w:numPr>
      </w:pPr>
      <w:r>
        <w:t>T</w:t>
      </w:r>
      <w:r w:rsidR="001B017D">
        <w:t xml:space="preserve">here was insufficient signage </w:t>
      </w:r>
      <w:r w:rsidR="00F21080">
        <w:t>at the entrance to the site indicating the Claimant had enforced parking restrictions</w:t>
      </w:r>
      <w:r w:rsidR="001F70E8">
        <w:t>,</w:t>
      </w:r>
      <w:r w:rsidR="00F21080">
        <w:t xml:space="preserve"> </w:t>
      </w:r>
      <w:r w:rsidR="001B017D">
        <w:t>due to it being partially removed and partially hidden by foliage – see [</w:t>
      </w:r>
      <w:r w:rsidR="001B017D" w:rsidRPr="001B017D">
        <w:rPr>
          <w:b/>
          <w:bCs/>
        </w:rPr>
        <w:t>evidence</w:t>
      </w:r>
      <w:r w:rsidR="001B017D">
        <w:t>]. Referring to the Claimant’s Witness Statement – see [</w:t>
      </w:r>
      <w:r w:rsidR="001B017D" w:rsidRPr="001B017D">
        <w:rPr>
          <w:b/>
          <w:bCs/>
        </w:rPr>
        <w:t>evidence</w:t>
      </w:r>
      <w:r w:rsidR="001B017D">
        <w:t>] – the site map shows that this was the only sign at the entrance/exit to this site, which the Claimant failed to maintain to a reasonable standard for a driver to observe as they entered the site.</w:t>
      </w:r>
    </w:p>
    <w:p w14:paraId="76E9419A" w14:textId="64E7AA8E" w:rsidR="00F21080" w:rsidRDefault="00F21080" w:rsidP="00F21080">
      <w:pPr>
        <w:ind w:left="360"/>
      </w:pPr>
    </w:p>
    <w:p w14:paraId="5723312B" w14:textId="6ECBB9EA" w:rsidR="00F21080" w:rsidRDefault="00F21080" w:rsidP="00F21080">
      <w:pPr>
        <w:pStyle w:val="ListParagraph"/>
        <w:numPr>
          <w:ilvl w:val="0"/>
          <w:numId w:val="1"/>
        </w:numPr>
      </w:pPr>
      <w:r>
        <w:t>T</w:t>
      </w:r>
      <w:r w:rsidRPr="00F21080">
        <w:t xml:space="preserve">he Claimant is a member of the International Parking Community. </w:t>
      </w:r>
      <w:r w:rsidR="00623E09">
        <w:t xml:space="preserve">Schedule 1 – Signage </w:t>
      </w:r>
      <w:r w:rsidRPr="00F21080">
        <w:t>provides</w:t>
      </w:r>
      <w:r w:rsidR="00623E09">
        <w:t>:</w:t>
      </w:r>
    </w:p>
    <w:p w14:paraId="368552DF" w14:textId="0797FA07" w:rsidR="00F21080" w:rsidRDefault="00F21080" w:rsidP="00F21080">
      <w:pPr>
        <w:pStyle w:val="ListParagraph"/>
        <w:numPr>
          <w:ilvl w:val="1"/>
          <w:numId w:val="1"/>
        </w:numPr>
        <w:rPr>
          <w:i/>
          <w:iCs/>
        </w:rPr>
      </w:pPr>
      <w:r w:rsidRPr="00132277">
        <w:rPr>
          <w:i/>
          <w:iCs/>
        </w:rPr>
        <w:t>“Signs should be constructed from material that is sufficiently robust to withstand normal external conditions. Signs must fixed [sic] in place and must be immediately apparent to the Motorist that they convey important information regarding the Private Land upon which they are placed”</w:t>
      </w:r>
      <w:r w:rsidR="00623E09">
        <w:rPr>
          <w:i/>
          <w:iCs/>
        </w:rPr>
        <w:t>.</w:t>
      </w:r>
    </w:p>
    <w:p w14:paraId="33C8FC45" w14:textId="6C5F9071" w:rsidR="00F21080" w:rsidRDefault="00F21080" w:rsidP="00F21080">
      <w:pPr>
        <w:pStyle w:val="ListParagraph"/>
        <w:numPr>
          <w:ilvl w:val="1"/>
          <w:numId w:val="1"/>
        </w:numPr>
        <w:rPr>
          <w:i/>
          <w:iCs/>
        </w:rPr>
      </w:pPr>
      <w:r>
        <w:rPr>
          <w:i/>
          <w:iCs/>
        </w:rPr>
        <w:t>“Where a Car Park has a defined entrance, Operators should display entrance signs”</w:t>
      </w:r>
    </w:p>
    <w:p w14:paraId="29353E35" w14:textId="7C6E0AE8" w:rsidR="00623E09" w:rsidRDefault="00623E09" w:rsidP="007C3A85">
      <w:pPr>
        <w:pStyle w:val="ListParagraph"/>
        <w:numPr>
          <w:ilvl w:val="1"/>
          <w:numId w:val="1"/>
        </w:numPr>
        <w:rPr>
          <w:i/>
          <w:iCs/>
        </w:rPr>
      </w:pPr>
      <w:r>
        <w:rPr>
          <w:i/>
          <w:iCs/>
        </w:rPr>
        <w:t>“</w:t>
      </w:r>
      <w:r w:rsidRPr="00623E09">
        <w:rPr>
          <w:i/>
          <w:iCs/>
        </w:rPr>
        <w:t>Where there is any change to any pre-existing terms and conditions that would not be immediately apparent to a person visiting the Car Park and which materially affects the Motorist the Operator should place additional (temporary) notices at the entrance making it clear that new terms and conditions/charges apply, such that regular visitors</w:t>
      </w:r>
      <w:r>
        <w:rPr>
          <w:i/>
          <w:iCs/>
        </w:rPr>
        <w:t xml:space="preserve"> </w:t>
      </w:r>
      <w:r w:rsidRPr="00623E09">
        <w:rPr>
          <w:i/>
          <w:iCs/>
        </w:rPr>
        <w:t>who may be familiar with the old terms do not inadvertently incur Parking Charges</w:t>
      </w:r>
      <w:r>
        <w:rPr>
          <w:i/>
          <w:iCs/>
        </w:rPr>
        <w:t>”.</w:t>
      </w:r>
    </w:p>
    <w:p w14:paraId="24A5540E" w14:textId="34206744" w:rsidR="00623E09" w:rsidRPr="00623E09" w:rsidRDefault="00623E09" w:rsidP="00623E09">
      <w:pPr>
        <w:rPr>
          <w:i/>
          <w:iCs/>
        </w:rPr>
      </w:pPr>
    </w:p>
    <w:p w14:paraId="0796C463" w14:textId="090C6729" w:rsidR="001B017D" w:rsidRDefault="00623E09" w:rsidP="00D56270">
      <w:pPr>
        <w:pStyle w:val="ListParagraph"/>
        <w:numPr>
          <w:ilvl w:val="0"/>
          <w:numId w:val="1"/>
        </w:numPr>
      </w:pPr>
      <w:r>
        <w:lastRenderedPageBreak/>
        <w:t>It is asserted by the Defendant that the materials used for the sign were insufficient to meet either the guidance or spirit of the guidance in 4.1</w:t>
      </w:r>
      <w:r w:rsidR="00A54D96">
        <w:t xml:space="preserve"> given its state</w:t>
      </w:r>
      <w:r>
        <w:t xml:space="preserve">. Similarly, 4.2 could not be met given that the </w:t>
      </w:r>
      <w:r w:rsidR="007F47BE">
        <w:t>remainder of the</w:t>
      </w:r>
      <w:r>
        <w:t xml:space="preserve"> sign could not allude to it being an “entrance sign”. It is also believed that the Claimant failed to meet guidance in 4.3, as the </w:t>
      </w:r>
      <w:r w:rsidR="001B017D">
        <w:t>Defendant had used this car park before having lived in the apartment block directly opposite, so was aware that many non-permit holders used this car park out of peak working time hours in order to visit the local area. As the more prominent sign for the land owner remained in place (see [</w:t>
      </w:r>
      <w:r w:rsidR="001B017D" w:rsidRPr="00623E09">
        <w:rPr>
          <w:b/>
          <w:bCs/>
        </w:rPr>
        <w:t>evidence</w:t>
      </w:r>
      <w:r w:rsidR="001B017D">
        <w:t>])</w:t>
      </w:r>
      <w:r w:rsidR="00A54D96">
        <w:t xml:space="preserve"> with no additional notices by the Claimant</w:t>
      </w:r>
      <w:r w:rsidR="001B017D">
        <w:t xml:space="preserve">, </w:t>
      </w:r>
      <w:r w:rsidR="00DA4BF9">
        <w:t>the Defendant had the hones</w:t>
      </w:r>
      <w:r>
        <w:t>t</w:t>
      </w:r>
      <w:r w:rsidR="00DA4BF9">
        <w:t xml:space="preserve"> belie</w:t>
      </w:r>
      <w:r w:rsidR="001F70E8">
        <w:t>f</w:t>
      </w:r>
      <w:r w:rsidR="00DA4BF9">
        <w:t xml:space="preserve"> that there was no change in parking restrictions.</w:t>
      </w:r>
    </w:p>
    <w:p w14:paraId="3C4B14FA" w14:textId="1DCB187E" w:rsidR="007F47BE" w:rsidRDefault="007F47BE" w:rsidP="007F47BE">
      <w:pPr>
        <w:ind w:left="360"/>
      </w:pPr>
    </w:p>
    <w:p w14:paraId="78D36445" w14:textId="3BDE5009" w:rsidR="00FF1E2C" w:rsidRDefault="007F47BE" w:rsidP="00FF1E2C">
      <w:pPr>
        <w:pStyle w:val="ListParagraph"/>
        <w:numPr>
          <w:ilvl w:val="0"/>
          <w:numId w:val="1"/>
        </w:numPr>
      </w:pPr>
      <w:r w:rsidRPr="007F47BE">
        <w:t xml:space="preserve">Only </w:t>
      </w:r>
      <w:r>
        <w:t>on finding the parking charge ticket did the Defendant discover the remainder of the entrance sign</w:t>
      </w:r>
      <w:r w:rsidR="001F70E8">
        <w:t>,</w:t>
      </w:r>
      <w:r>
        <w:t xml:space="preserve"> along with an additional sign affixed to a low fence behind his parked vehicle, see [</w:t>
      </w:r>
      <w:r w:rsidRPr="00FF1E2C">
        <w:rPr>
          <w:b/>
          <w:bCs/>
        </w:rPr>
        <w:t>evidence</w:t>
      </w:r>
      <w:r>
        <w:t>])</w:t>
      </w:r>
      <w:r w:rsidR="00FF1E2C">
        <w:t xml:space="preserve"> that could have easily been occluded on parking</w:t>
      </w:r>
      <w:r w:rsidR="001F70E8">
        <w:t xml:space="preserve"> given its size and location</w:t>
      </w:r>
      <w:r w:rsidRPr="007F47BE">
        <w:t xml:space="preserve">. </w:t>
      </w:r>
      <w:r>
        <w:t>The Defendant</w:t>
      </w:r>
      <w:r w:rsidRPr="007F47BE">
        <w:t xml:space="preserve"> had</w:t>
      </w:r>
      <w:r>
        <w:t xml:space="preserve"> </w:t>
      </w:r>
      <w:r w:rsidRPr="007F47BE">
        <w:t xml:space="preserve">been afforded no fair opportunity to learn that </w:t>
      </w:r>
      <w:r>
        <w:t xml:space="preserve">parking restrictions had changed </w:t>
      </w:r>
      <w:r w:rsidRPr="007F47BE">
        <w:t xml:space="preserve">and was therefore under no duty to seek them out (as held in Vine v London Borough of Waltham Forest [2000] EWCA Civ 1069) </w:t>
      </w:r>
      <w:r>
        <w:t>[</w:t>
      </w:r>
      <w:r w:rsidRPr="00FF1E2C">
        <w:rPr>
          <w:b/>
          <w:bCs/>
        </w:rPr>
        <w:t>exhibit</w:t>
      </w:r>
      <w:r>
        <w:t>]</w:t>
      </w:r>
      <w:r w:rsidRPr="007F47BE">
        <w:t xml:space="preserve">. I note from research about </w:t>
      </w:r>
      <w:r w:rsidR="001F70E8">
        <w:t xml:space="preserve">similar </w:t>
      </w:r>
      <w:r w:rsidRPr="007F47BE">
        <w:t xml:space="preserve">cases that </w:t>
      </w:r>
      <w:r w:rsidR="001F70E8">
        <w:t>Claimants are</w:t>
      </w:r>
      <w:r w:rsidRPr="007F47BE">
        <w:t xml:space="preserve"> known to mislead courts using this authority by quoting out of context from Roch LJ, whose words related to the Respondent’s losing case, and not from the decision. In fact, Miss Vine won because it was held as a fact that she was not afforded a fair opportunity to learn of the terms by which she would be bound.</w:t>
      </w:r>
    </w:p>
    <w:p w14:paraId="67D5315B" w14:textId="77777777" w:rsidR="00FF1E2C" w:rsidRDefault="00FF1E2C" w:rsidP="00FF1E2C"/>
    <w:p w14:paraId="6E29C745" w14:textId="6FF1BCC3" w:rsidR="00A42A15" w:rsidRDefault="00A42A15" w:rsidP="005E1B88">
      <w:r>
        <w:rPr>
          <w:b/>
          <w:bCs/>
          <w:u w:val="single"/>
        </w:rPr>
        <w:t>Defective Contract</w:t>
      </w:r>
    </w:p>
    <w:p w14:paraId="27E380C6" w14:textId="2A2F650A" w:rsidR="00A42A15" w:rsidRDefault="00A42A15" w:rsidP="005E1B88"/>
    <w:p w14:paraId="2440169E" w14:textId="3909D20E" w:rsidR="008B5D95" w:rsidRDefault="008B5D95" w:rsidP="008B5D95">
      <w:pPr>
        <w:pStyle w:val="ListParagraph"/>
        <w:numPr>
          <w:ilvl w:val="0"/>
          <w:numId w:val="1"/>
        </w:numPr>
      </w:pPr>
      <w:r w:rsidRPr="008B5D95">
        <w:t>Paragraph</w:t>
      </w:r>
      <w:r>
        <w:t>s</w:t>
      </w:r>
      <w:r w:rsidRPr="008B5D95">
        <w:t xml:space="preserve"> </w:t>
      </w:r>
      <w:r>
        <w:t>4</w:t>
      </w:r>
      <w:r w:rsidRPr="008B5D95">
        <w:t xml:space="preserve"> </w:t>
      </w:r>
      <w:r>
        <w:t xml:space="preserve">and 6 </w:t>
      </w:r>
      <w:r w:rsidRPr="008B5D95">
        <w:t xml:space="preserve">of </w:t>
      </w:r>
      <w:r>
        <w:t xml:space="preserve">the </w:t>
      </w:r>
      <w:r w:rsidRPr="008B5D95">
        <w:t>Claimant’s witness statement, refer to a</w:t>
      </w:r>
      <w:r>
        <w:t xml:space="preserve"> contractual</w:t>
      </w:r>
      <w:r w:rsidRPr="008B5D95">
        <w:t xml:space="preserve"> agreement with the landowner </w:t>
      </w:r>
      <w:r>
        <w:t>that</w:t>
      </w:r>
      <w:r w:rsidRPr="008B5D95">
        <w:t xml:space="preserve"> gave the Claimant authority to enforce parking charges</w:t>
      </w:r>
      <w:r w:rsidR="008E4B69">
        <w:t xml:space="preserve"> </w:t>
      </w:r>
      <w:r w:rsidR="00EC43B0">
        <w:t>(</w:t>
      </w:r>
      <w:r w:rsidR="008E4B69">
        <w:t>see [</w:t>
      </w:r>
      <w:r w:rsidR="008E4B69" w:rsidRPr="008E4B69">
        <w:rPr>
          <w:b/>
          <w:bCs/>
        </w:rPr>
        <w:t>exhibit</w:t>
      </w:r>
      <w:r w:rsidR="008E4B69">
        <w:t>]</w:t>
      </w:r>
      <w:r w:rsidR="00EC43B0">
        <w:t>)</w:t>
      </w:r>
      <w:r w:rsidRPr="008B5D95">
        <w:t xml:space="preserve">. </w:t>
      </w:r>
      <w:r>
        <w:t>The contract states that the land owner (‘</w:t>
      </w:r>
      <w:r w:rsidR="008E4B69">
        <w:t>proprietor</w:t>
      </w:r>
      <w:r>
        <w:t xml:space="preserve">’) is </w:t>
      </w:r>
      <w:r w:rsidR="006C62A1">
        <w:t>[</w:t>
      </w:r>
      <w:r w:rsidR="006C62A1" w:rsidRPr="006C62A1">
        <w:rPr>
          <w:b/>
          <w:bCs/>
        </w:rPr>
        <w:t>organisation</w:t>
      </w:r>
      <w:r w:rsidR="006C62A1">
        <w:t>]</w:t>
      </w:r>
      <w:r>
        <w:t>, an unincorporated charity.</w:t>
      </w:r>
    </w:p>
    <w:p w14:paraId="24DED49E" w14:textId="77777777" w:rsidR="008B5D95" w:rsidRDefault="008B5D95" w:rsidP="008B5D95">
      <w:pPr>
        <w:ind w:left="360"/>
      </w:pPr>
    </w:p>
    <w:p w14:paraId="12FBBBFA" w14:textId="3E07250D" w:rsidR="008B5D95" w:rsidRDefault="00EC43B0" w:rsidP="008B5D95">
      <w:pPr>
        <w:pStyle w:val="ListParagraph"/>
        <w:numPr>
          <w:ilvl w:val="0"/>
          <w:numId w:val="1"/>
        </w:numPr>
      </w:pPr>
      <w:r>
        <w:t xml:space="preserve">As the charity is not an incorporated entity under the UK Companies Act 2006, the agreement would only be valid if all of the trustees of the charity </w:t>
      </w:r>
      <w:r w:rsidR="007B7749">
        <w:t xml:space="preserve">were to </w:t>
      </w:r>
      <w:r>
        <w:t>sign</w:t>
      </w:r>
      <w:r w:rsidR="007B7749">
        <w:t xml:space="preserve"> it</w:t>
      </w:r>
      <w:r>
        <w:t xml:space="preserve"> – only one is present (and redacted) in the above-mentioned agreement.</w:t>
      </w:r>
    </w:p>
    <w:p w14:paraId="230CC9C8" w14:textId="77777777" w:rsidR="00EC43B0" w:rsidRDefault="00EC43B0" w:rsidP="00EC43B0">
      <w:pPr>
        <w:ind w:left="360"/>
      </w:pPr>
    </w:p>
    <w:p w14:paraId="3CA71154" w14:textId="33253480" w:rsidR="00EC43B0" w:rsidRDefault="00EC43B0" w:rsidP="008B5D95">
      <w:pPr>
        <w:pStyle w:val="ListParagraph"/>
        <w:numPr>
          <w:ilvl w:val="0"/>
          <w:numId w:val="1"/>
        </w:numPr>
      </w:pPr>
      <w:r>
        <w:t>Additionally, the signage in the site (see [</w:t>
      </w:r>
      <w:r w:rsidRPr="00EC43B0">
        <w:rPr>
          <w:b/>
          <w:bCs/>
        </w:rPr>
        <w:t>evidence</w:t>
      </w:r>
      <w:r>
        <w:t>]) refer</w:t>
      </w:r>
      <w:r w:rsidR="006C62A1">
        <w:t>s to permit holders only, as required by the agreement. This arguably excludes all non-permit holders</w:t>
      </w:r>
      <w:r w:rsidR="007B7749">
        <w:t>,</w:t>
      </w:r>
      <w:r w:rsidR="006C62A1">
        <w:t xml:space="preserve"> so a contract could not be granted to anyone</w:t>
      </w:r>
      <w:r w:rsidR="00053833">
        <w:t xml:space="preserve"> without already being in possession of one.</w:t>
      </w:r>
    </w:p>
    <w:p w14:paraId="346849DA" w14:textId="77777777" w:rsidR="006C62A1" w:rsidRDefault="006C62A1" w:rsidP="006C62A1">
      <w:pPr>
        <w:ind w:left="360"/>
      </w:pPr>
    </w:p>
    <w:p w14:paraId="2CDCF9CF" w14:textId="450C489B" w:rsidR="006C62A1" w:rsidRDefault="006C62A1" w:rsidP="008B5D95">
      <w:pPr>
        <w:pStyle w:val="ListParagraph"/>
        <w:numPr>
          <w:ilvl w:val="0"/>
          <w:numId w:val="1"/>
        </w:numPr>
      </w:pPr>
      <w:r>
        <w:t>Given the above arguments, the Defendant is of the opinion that the contract was defective and the Claimant had no authority to grant parking charges</w:t>
      </w:r>
      <w:r w:rsidR="001F70E8">
        <w:t xml:space="preserve"> on the site</w:t>
      </w:r>
      <w:r>
        <w:t>.</w:t>
      </w:r>
    </w:p>
    <w:p w14:paraId="0D3E4D7D" w14:textId="3BC066BA" w:rsidR="00A42A15" w:rsidRDefault="00A42A15" w:rsidP="005E1B88"/>
    <w:p w14:paraId="12296AED" w14:textId="6567AC96" w:rsidR="000C1420" w:rsidRDefault="00132277" w:rsidP="000C1420">
      <w:r>
        <w:rPr>
          <w:b/>
          <w:bCs/>
          <w:u w:val="single"/>
        </w:rPr>
        <w:t>The contract requiring a permit was void for impossibility</w:t>
      </w:r>
    </w:p>
    <w:p w14:paraId="59F7BA9F" w14:textId="77777777" w:rsidR="000C1420" w:rsidRDefault="000C1420" w:rsidP="000C1420"/>
    <w:p w14:paraId="17129583" w14:textId="6ACC751D" w:rsidR="00517EBB" w:rsidRDefault="00517EBB" w:rsidP="00517EBB">
      <w:pPr>
        <w:pStyle w:val="ListParagraph"/>
        <w:numPr>
          <w:ilvl w:val="0"/>
          <w:numId w:val="1"/>
        </w:numPr>
      </w:pPr>
      <w:r>
        <w:t>Referring to the judg</w:t>
      </w:r>
      <w:r w:rsidR="00D7278D">
        <w:t>e</w:t>
      </w:r>
      <w:r>
        <w:t xml:space="preserve">ment Pace vs Lengyel C7GF6E3R </w:t>
      </w:r>
      <w:r w:rsidRPr="00517EBB">
        <w:rPr>
          <w:b/>
          <w:bCs/>
        </w:rPr>
        <w:t>[judgement]</w:t>
      </w:r>
      <w:r>
        <w:t>, District Judge Iyer had to be satisfied with the following in order for the Defendant to be in breach of the terms of the contract to display a permit:</w:t>
      </w:r>
    </w:p>
    <w:p w14:paraId="5B869B79" w14:textId="2895785E" w:rsidR="00517EBB" w:rsidRDefault="00517EBB" w:rsidP="00517EBB">
      <w:pPr>
        <w:pStyle w:val="ListParagraph"/>
        <w:numPr>
          <w:ilvl w:val="1"/>
          <w:numId w:val="1"/>
        </w:numPr>
      </w:pPr>
      <w:r>
        <w:t>The Claimant had the authority of the owner or occupier of the site to enter into contracts with people who parked their cars in the car park.</w:t>
      </w:r>
    </w:p>
    <w:p w14:paraId="7762E91A" w14:textId="2895785E" w:rsidR="00517EBB" w:rsidRDefault="00517EBB" w:rsidP="00517EBB">
      <w:pPr>
        <w:pStyle w:val="ListParagraph"/>
        <w:numPr>
          <w:ilvl w:val="1"/>
          <w:numId w:val="1"/>
        </w:numPr>
      </w:pPr>
      <w:r>
        <w:t>The Claimant and the Defendant entered into such a contract.</w:t>
      </w:r>
    </w:p>
    <w:p w14:paraId="79AFDFC8" w14:textId="210F903D" w:rsidR="00517EBB" w:rsidRPr="004F093F" w:rsidRDefault="00517EBB" w:rsidP="00517EBB">
      <w:pPr>
        <w:pStyle w:val="ListParagraph"/>
        <w:numPr>
          <w:ilvl w:val="1"/>
          <w:numId w:val="1"/>
        </w:numPr>
      </w:pPr>
      <w:r>
        <w:t>It was a valid and enforceable contract</w:t>
      </w:r>
    </w:p>
    <w:p w14:paraId="044175D5" w14:textId="77777777" w:rsidR="00517EBB" w:rsidRDefault="00517EBB" w:rsidP="00517EBB">
      <w:pPr>
        <w:ind w:left="360"/>
      </w:pPr>
    </w:p>
    <w:p w14:paraId="019AA635" w14:textId="041ECA62" w:rsidR="00517EBB" w:rsidRDefault="00517EBB" w:rsidP="00517EBB">
      <w:pPr>
        <w:pStyle w:val="ListParagraph"/>
        <w:numPr>
          <w:ilvl w:val="0"/>
          <w:numId w:val="1"/>
        </w:numPr>
      </w:pPr>
      <w:r>
        <w:t xml:space="preserve">Refer to </w:t>
      </w:r>
      <w:r w:rsidR="00A54D96">
        <w:t xml:space="preserve">the previous section for </w:t>
      </w:r>
      <w:r>
        <w:t xml:space="preserve">my argument of Defective Contract in relation to criteria </w:t>
      </w:r>
      <w:r w:rsidR="001F70E8">
        <w:t>11</w:t>
      </w:r>
      <w:r w:rsidRPr="00517EBB">
        <w:rPr>
          <w:highlight w:val="yellow"/>
        </w:rPr>
        <w:t>.1</w:t>
      </w:r>
      <w:r>
        <w:t xml:space="preserve"> above.</w:t>
      </w:r>
    </w:p>
    <w:p w14:paraId="625B2BED" w14:textId="77777777" w:rsidR="00517EBB" w:rsidRDefault="00517EBB" w:rsidP="00517EBB">
      <w:pPr>
        <w:ind w:left="360"/>
      </w:pPr>
    </w:p>
    <w:p w14:paraId="32594E27" w14:textId="5318C323" w:rsidR="00123714" w:rsidRDefault="00517EBB" w:rsidP="00517EBB">
      <w:pPr>
        <w:pStyle w:val="ListParagraph"/>
        <w:numPr>
          <w:ilvl w:val="0"/>
          <w:numId w:val="1"/>
        </w:numPr>
      </w:pPr>
      <w:r>
        <w:t xml:space="preserve">In regards to criteria </w:t>
      </w:r>
      <w:r w:rsidR="001F70E8">
        <w:t>11</w:t>
      </w:r>
      <w:r w:rsidRPr="00517EBB">
        <w:rPr>
          <w:highlight w:val="yellow"/>
        </w:rPr>
        <w:t>.2</w:t>
      </w:r>
      <w:r>
        <w:t>, t</w:t>
      </w:r>
      <w:r w:rsidR="00C97805" w:rsidRPr="00C97805">
        <w:t>he Claimant</w:t>
      </w:r>
      <w:r w:rsidR="00C97805">
        <w:t xml:space="preserve"> alleges that </w:t>
      </w:r>
      <w:r w:rsidR="006C62A1">
        <w:t>the Defendant</w:t>
      </w:r>
      <w:r>
        <w:t xml:space="preserve"> </w:t>
      </w:r>
      <w:r w:rsidR="00C97805">
        <w:t xml:space="preserve">was in breach of the terms of parking stipulated on the signage thereby forming a ‘contract’, therefore leading to the </w:t>
      </w:r>
      <w:r w:rsidR="001F70E8">
        <w:t>parking</w:t>
      </w:r>
      <w:r w:rsidR="00C97805">
        <w:t xml:space="preserve"> charge</w:t>
      </w:r>
      <w:r w:rsidR="001F70E8">
        <w:t xml:space="preserve"> of £100</w:t>
      </w:r>
      <w:r w:rsidR="00C97805">
        <w:t xml:space="preserve">. However, referring to section 62 of the Consumer Rights Act 2015, this has to be a “fair” consumer contract. As the Supreme Court held in ParkingEye Ltd v Beavis [2013] EWCA Civ 1539 and [2015] EWCA Civ 402, the concept of fairness requires the parking firm to comply with the requirements of the </w:t>
      </w:r>
      <w:r w:rsidR="00D7278D">
        <w:t xml:space="preserve">relevant </w:t>
      </w:r>
      <w:r w:rsidR="00C97805">
        <w:t xml:space="preserve">code of practice, being either the British Parking Association’s code or the International Parking </w:t>
      </w:r>
      <w:r w:rsidR="00D7278D">
        <w:t>Community’s</w:t>
      </w:r>
      <w:r w:rsidR="00C97805">
        <w:t xml:space="preserve"> code.</w:t>
      </w:r>
    </w:p>
    <w:p w14:paraId="3750F89B" w14:textId="77777777" w:rsidR="00C97805" w:rsidRDefault="00C97805" w:rsidP="00C97805"/>
    <w:p w14:paraId="5DAA5805" w14:textId="18C34A36" w:rsidR="00C97805" w:rsidRPr="00132277" w:rsidRDefault="00F21080" w:rsidP="00517EBB">
      <w:pPr>
        <w:pStyle w:val="ListParagraph"/>
        <w:numPr>
          <w:ilvl w:val="0"/>
          <w:numId w:val="1"/>
        </w:numPr>
      </w:pPr>
      <w:r>
        <w:t>As stated earlier in this document, t</w:t>
      </w:r>
      <w:r w:rsidR="00D60C3A">
        <w:t xml:space="preserve">he Claimant is a member of the International Parking Community. Section 8.1 of their Code of Practice </w:t>
      </w:r>
      <w:r w:rsidR="00C97805">
        <w:t>provides</w:t>
      </w:r>
      <w:r w:rsidR="00C97805">
        <w:rPr>
          <w:i/>
          <w:iCs/>
        </w:rPr>
        <w:t>, “</w:t>
      </w:r>
      <w:r w:rsidR="00D60C3A">
        <w:rPr>
          <w:i/>
          <w:iCs/>
        </w:rPr>
        <w:t>The Operator must have clear signage located on the Private Land to confirm the Terms and Conditions in place”</w:t>
      </w:r>
      <w:r w:rsidR="00D60C3A">
        <w:t xml:space="preserve">. Further, 8.2 states, </w:t>
      </w:r>
      <w:r w:rsidR="00D60C3A" w:rsidRPr="00D60C3A">
        <w:rPr>
          <w:i/>
          <w:iCs/>
        </w:rPr>
        <w:t>“Signs must conform to the requirements set out in Schedule 1”.</w:t>
      </w:r>
    </w:p>
    <w:p w14:paraId="70D790F6" w14:textId="77777777" w:rsidR="0024479C" w:rsidRDefault="0024479C" w:rsidP="0024479C">
      <w:pPr>
        <w:ind w:left="360"/>
      </w:pPr>
    </w:p>
    <w:p w14:paraId="26F0E61E" w14:textId="761726EF" w:rsidR="0024479C" w:rsidRPr="00225650" w:rsidRDefault="00132277" w:rsidP="00225650">
      <w:pPr>
        <w:pStyle w:val="ListParagraph"/>
        <w:numPr>
          <w:ilvl w:val="0"/>
          <w:numId w:val="1"/>
        </w:numPr>
      </w:pPr>
      <w:r>
        <w:t>The aforementioned Schedule 1 of the Code of Practice states</w:t>
      </w:r>
      <w:r w:rsidR="00225650">
        <w:t xml:space="preserve">, </w:t>
      </w:r>
      <w:r w:rsidR="0024479C" w:rsidRPr="00225650">
        <w:rPr>
          <w:i/>
          <w:iCs/>
        </w:rPr>
        <w:t>“Entrance Signs should b) refer the Motorist to the signs within the Car Park which display the full terms and conditions.”</w:t>
      </w:r>
    </w:p>
    <w:p w14:paraId="3D399442" w14:textId="77777777" w:rsidR="0024479C" w:rsidRPr="0024479C" w:rsidRDefault="0024479C" w:rsidP="0024479C">
      <w:pPr>
        <w:rPr>
          <w:i/>
          <w:iCs/>
        </w:rPr>
      </w:pPr>
    </w:p>
    <w:p w14:paraId="15D5D69E" w14:textId="062D53F6" w:rsidR="0024479C" w:rsidRPr="00904ACB" w:rsidRDefault="0024479C" w:rsidP="0024479C">
      <w:pPr>
        <w:pStyle w:val="ListParagraph"/>
        <w:numPr>
          <w:ilvl w:val="0"/>
          <w:numId w:val="1"/>
        </w:numPr>
        <w:rPr>
          <w:i/>
          <w:iCs/>
        </w:rPr>
      </w:pPr>
      <w:r>
        <w:t>Refer to</w:t>
      </w:r>
      <w:r w:rsidR="00132277">
        <w:t xml:space="preserve"> </w:t>
      </w:r>
      <w:r w:rsidR="00132277" w:rsidRPr="00904ACB">
        <w:rPr>
          <w:b/>
          <w:bCs/>
        </w:rPr>
        <w:t>[e</w:t>
      </w:r>
      <w:r w:rsidR="00132277" w:rsidRPr="00132277">
        <w:rPr>
          <w:b/>
          <w:bCs/>
        </w:rPr>
        <w:t>vidence</w:t>
      </w:r>
      <w:r w:rsidR="00132277" w:rsidRPr="00904ACB">
        <w:rPr>
          <w:b/>
          <w:bCs/>
        </w:rPr>
        <w:t>]</w:t>
      </w:r>
      <w:r w:rsidR="00132277">
        <w:t xml:space="preserve"> for an example provided by the International Parking Community</w:t>
      </w:r>
      <w:r w:rsidR="00225650">
        <w:t xml:space="preserve"> for comparison to [</w:t>
      </w:r>
      <w:r w:rsidR="00225650" w:rsidRPr="00225650">
        <w:rPr>
          <w:b/>
          <w:bCs/>
        </w:rPr>
        <w:t>evidence</w:t>
      </w:r>
      <w:r w:rsidR="00225650">
        <w:t>] that I took of the entrance to the site on the date of the alleged contravention. Given the ‘entrance sign’ was nearly entirely removed, it was impossible for the Defendant to be referred to other signs within the site to view the full terms and conditions.</w:t>
      </w:r>
    </w:p>
    <w:p w14:paraId="1426AE3F" w14:textId="77777777" w:rsidR="00904ACB" w:rsidRPr="00904ACB" w:rsidRDefault="00904ACB" w:rsidP="00904ACB">
      <w:pPr>
        <w:pStyle w:val="ListParagraph"/>
        <w:rPr>
          <w:i/>
          <w:iCs/>
        </w:rPr>
      </w:pPr>
    </w:p>
    <w:p w14:paraId="13FAB60C" w14:textId="55960FD5" w:rsidR="00904ACB" w:rsidRPr="00904ACB" w:rsidRDefault="00904ACB" w:rsidP="00DC2EF1">
      <w:pPr>
        <w:pStyle w:val="ListParagraph"/>
        <w:numPr>
          <w:ilvl w:val="0"/>
          <w:numId w:val="1"/>
        </w:numPr>
        <w:rPr>
          <w:i/>
          <w:iCs/>
        </w:rPr>
      </w:pPr>
      <w:r>
        <w:t xml:space="preserve">Schedule 1 of the Code of Practice also states the following related to signs displaying terms and conditions in addition to the entrance signs requirements, </w:t>
      </w:r>
      <w:r w:rsidRPr="00904ACB">
        <w:rPr>
          <w:i/>
          <w:iCs/>
        </w:rPr>
        <w:t>“The Operator must adequately display any signs intended to form the basis of contract between the Creditor and the Motorist</w:t>
      </w:r>
      <w:r>
        <w:rPr>
          <w:i/>
          <w:iCs/>
        </w:rPr>
        <w:t>”</w:t>
      </w:r>
      <w:r w:rsidR="0030765D">
        <w:t>.</w:t>
      </w:r>
    </w:p>
    <w:p w14:paraId="3800E4CE" w14:textId="77777777" w:rsidR="007B618F" w:rsidRDefault="007B618F" w:rsidP="00904ACB"/>
    <w:p w14:paraId="32E28B25" w14:textId="0EB44E89" w:rsidR="007B618F" w:rsidRDefault="007B618F" w:rsidP="00517EBB">
      <w:pPr>
        <w:pStyle w:val="ListParagraph"/>
        <w:numPr>
          <w:ilvl w:val="0"/>
          <w:numId w:val="1"/>
        </w:numPr>
      </w:pPr>
      <w:r>
        <w:lastRenderedPageBreak/>
        <w:t xml:space="preserve">Referring to </w:t>
      </w:r>
      <w:r w:rsidRPr="007B618F">
        <w:rPr>
          <w:b/>
          <w:bCs/>
        </w:rPr>
        <w:t>[evidence]</w:t>
      </w:r>
      <w:r>
        <w:t>, nowhere within it does it inform the reader that by parking in the car park he is entering into a contract with the Claimant. Indeed, the word “contract</w:t>
      </w:r>
      <w:r w:rsidR="00332489">
        <w:t>” does</w:t>
      </w:r>
      <w:r>
        <w:t xml:space="preserve"> not appear at all within the sign, which merely refers </w:t>
      </w:r>
      <w:r w:rsidR="00332489">
        <w:t>that</w:t>
      </w:r>
      <w:r w:rsidR="00904ACB">
        <w:t>,</w:t>
      </w:r>
      <w:r>
        <w:t xml:space="preserve"> </w:t>
      </w:r>
      <w:r w:rsidR="00904ACB" w:rsidRPr="00904ACB">
        <w:rPr>
          <w:i/>
          <w:iCs/>
        </w:rPr>
        <w:t xml:space="preserve">“By entering or remaining on this land you </w:t>
      </w:r>
      <w:r w:rsidR="00332489" w:rsidRPr="00904ACB">
        <w:rPr>
          <w:i/>
          <w:iCs/>
        </w:rPr>
        <w:t>agree to abide by all of the Terms and Conditions”</w:t>
      </w:r>
      <w:r w:rsidR="00332489">
        <w:t>. The phrase “terms and conditions” is not synonymous with a contract.</w:t>
      </w:r>
    </w:p>
    <w:p w14:paraId="7C1B2841" w14:textId="77777777" w:rsidR="00332489" w:rsidRDefault="00332489" w:rsidP="001121E3">
      <w:pPr>
        <w:ind w:left="360"/>
      </w:pPr>
    </w:p>
    <w:p w14:paraId="00971BC9" w14:textId="6CD1B029" w:rsidR="006C78D0" w:rsidRDefault="00517EBB" w:rsidP="006C78D0">
      <w:pPr>
        <w:pStyle w:val="ListParagraph"/>
        <w:numPr>
          <w:ilvl w:val="0"/>
          <w:numId w:val="1"/>
        </w:numPr>
      </w:pPr>
      <w:r>
        <w:t xml:space="preserve">In regards to criteria </w:t>
      </w:r>
      <w:r w:rsidR="0030765D">
        <w:t>11</w:t>
      </w:r>
      <w:r w:rsidRPr="00517EBB">
        <w:rPr>
          <w:highlight w:val="yellow"/>
        </w:rPr>
        <w:t>.3</w:t>
      </w:r>
      <w:r>
        <w:t xml:space="preserve">, </w:t>
      </w:r>
      <w:r w:rsidR="004F093F">
        <w:t xml:space="preserve">if the Claimant is insisting that </w:t>
      </w:r>
      <w:r w:rsidR="006C62A1">
        <w:t>the Defendant</w:t>
      </w:r>
      <w:r w:rsidR="00A54047">
        <w:t xml:space="preserve"> </w:t>
      </w:r>
      <w:r w:rsidR="004F093F">
        <w:t xml:space="preserve">entered into a contract when </w:t>
      </w:r>
      <w:r w:rsidR="00A54047">
        <w:t>entering</w:t>
      </w:r>
      <w:r w:rsidR="004F093F">
        <w:t xml:space="preserve"> the site, then </w:t>
      </w:r>
      <w:r w:rsidR="004F093F" w:rsidRPr="004F093F">
        <w:t xml:space="preserve">the lack of sign at the entrance to the </w:t>
      </w:r>
      <w:r w:rsidR="004F093F">
        <w:t xml:space="preserve">car park would mean a breach as soon as </w:t>
      </w:r>
      <w:r w:rsidR="006C62A1">
        <w:t>the Defendant</w:t>
      </w:r>
      <w:r w:rsidR="007D5B88">
        <w:t xml:space="preserve"> </w:t>
      </w:r>
      <w:r w:rsidR="004F093F">
        <w:t xml:space="preserve">entered the site without any warning </w:t>
      </w:r>
      <w:r>
        <w:t xml:space="preserve">given the </w:t>
      </w:r>
      <w:r w:rsidR="00A54D96">
        <w:t xml:space="preserve">partially </w:t>
      </w:r>
      <w:r>
        <w:t xml:space="preserve">removed sign, see </w:t>
      </w:r>
      <w:r w:rsidRPr="00517EBB">
        <w:rPr>
          <w:b/>
          <w:bCs/>
        </w:rPr>
        <w:t>[evidence]</w:t>
      </w:r>
      <w:r>
        <w:t xml:space="preserve"> </w:t>
      </w:r>
      <w:r w:rsidR="00A54047">
        <w:t xml:space="preserve">– </w:t>
      </w:r>
      <w:r w:rsidR="004F093F">
        <w:t xml:space="preserve">as </w:t>
      </w:r>
      <w:r w:rsidR="006C62A1">
        <w:t>there</w:t>
      </w:r>
      <w:r w:rsidR="004F093F">
        <w:t xml:space="preserve"> would not </w:t>
      </w:r>
      <w:r w:rsidR="006C62A1">
        <w:t>be</w:t>
      </w:r>
      <w:r w:rsidR="004F093F">
        <w:t xml:space="preserve"> </w:t>
      </w:r>
      <w:r w:rsidR="00A54047">
        <w:t xml:space="preserve">any time to source a </w:t>
      </w:r>
      <w:r w:rsidR="004F093F">
        <w:t xml:space="preserve">permit to display. </w:t>
      </w:r>
      <w:r w:rsidR="003F77BE">
        <w:t>The inability to do this was not caused by any act or omission</w:t>
      </w:r>
      <w:r w:rsidR="00A54047">
        <w:t xml:space="preserve"> on </w:t>
      </w:r>
      <w:r w:rsidR="006C62A1">
        <w:t>the</w:t>
      </w:r>
      <w:r w:rsidR="00A54047">
        <w:t xml:space="preserve"> part</w:t>
      </w:r>
      <w:r w:rsidR="006C62A1">
        <w:t xml:space="preserve"> of the Defendant</w:t>
      </w:r>
      <w:r w:rsidR="003F77BE">
        <w:t>, but b</w:t>
      </w:r>
      <w:r w:rsidR="00A54047">
        <w:t>y</w:t>
      </w:r>
      <w:r w:rsidR="003F77BE">
        <w:t xml:space="preserve"> a state of affairs over which </w:t>
      </w:r>
      <w:r w:rsidR="006C62A1">
        <w:t>he</w:t>
      </w:r>
      <w:r w:rsidR="003F77BE">
        <w:t xml:space="preserve"> had no control. Therefore, insofar as there was any contract between the parties, </w:t>
      </w:r>
      <w:r w:rsidR="006C62A1">
        <w:t>the Defendant</w:t>
      </w:r>
      <w:r w:rsidR="003F77BE">
        <w:t xml:space="preserve"> believe</w:t>
      </w:r>
      <w:r w:rsidR="006C62A1">
        <w:t>s</w:t>
      </w:r>
      <w:r w:rsidR="003F77BE">
        <w:t xml:space="preserve"> it was invalid under the doctrine of impossibility of performance.</w:t>
      </w:r>
    </w:p>
    <w:p w14:paraId="583EB163" w14:textId="77777777" w:rsidR="00123714" w:rsidRPr="001D164C" w:rsidRDefault="00123714" w:rsidP="00123714">
      <w:pPr>
        <w:spacing w:after="210" w:line="240" w:lineRule="auto"/>
        <w:textAlignment w:val="baseline"/>
        <w:rPr>
          <w:rFonts w:ascii="inherit" w:eastAsia="Times New Roman" w:hAnsi="inherit" w:cs="Times New Roman"/>
          <w:sz w:val="21"/>
          <w:szCs w:val="21"/>
          <w:lang w:eastAsia="en-GB"/>
        </w:rPr>
      </w:pPr>
    </w:p>
    <w:p w14:paraId="66EF019F" w14:textId="0C579A7F" w:rsidR="000E6B07" w:rsidRDefault="000E6B07" w:rsidP="001D164C">
      <w:pPr>
        <w:rPr>
          <w:b/>
          <w:bCs/>
          <w:u w:val="single"/>
        </w:rPr>
      </w:pPr>
      <w:r w:rsidRPr="001D164C">
        <w:rPr>
          <w:b/>
          <w:bCs/>
          <w:u w:val="single"/>
        </w:rPr>
        <w:t xml:space="preserve">My fixed witness costs </w:t>
      </w:r>
      <w:r w:rsidR="005136F1">
        <w:rPr>
          <w:b/>
          <w:bCs/>
          <w:u w:val="single"/>
        </w:rPr>
        <w:t xml:space="preserve">– </w:t>
      </w:r>
      <w:r w:rsidRPr="001D164C">
        <w:rPr>
          <w:b/>
          <w:bCs/>
          <w:u w:val="single"/>
        </w:rPr>
        <w:t>ref PD 27, 7.3(1) and CPR 27.14</w:t>
      </w:r>
    </w:p>
    <w:p w14:paraId="56DB2A23" w14:textId="77777777" w:rsidR="001D164C" w:rsidRPr="001D164C" w:rsidRDefault="001D164C" w:rsidP="001D164C">
      <w:pPr>
        <w:rPr>
          <w:b/>
          <w:bCs/>
          <w:u w:val="single"/>
        </w:rPr>
      </w:pPr>
    </w:p>
    <w:p w14:paraId="7A1E0FB1" w14:textId="7A48DDFE" w:rsidR="000E6B07" w:rsidRPr="001D164C" w:rsidRDefault="000E6B07" w:rsidP="00517EBB">
      <w:pPr>
        <w:pStyle w:val="ListParagraph"/>
        <w:numPr>
          <w:ilvl w:val="0"/>
          <w:numId w:val="1"/>
        </w:numPr>
      </w:pPr>
      <w:r w:rsidRPr="001D164C">
        <w:t>I ask the Court at the very least for my fixed witness costs. I am advised that costs on the Small Claims track are governed by rule 27.14 of the CPR and (unless a finding of 'wholly unreasonable conduct' is made against the Claimant) the Court may not order a party to pay another party’s costs, except fixed costs such as witness expenses which a party has reasonably incurred in travelling to and from the hearing, plus the court may award a set amount allowable for loss of earnings or loss of leave.</w:t>
      </w:r>
    </w:p>
    <w:p w14:paraId="1AD8B281" w14:textId="77777777" w:rsidR="000E6B07" w:rsidRPr="001D164C" w:rsidRDefault="000E6B07" w:rsidP="001D164C"/>
    <w:p w14:paraId="0644CE37" w14:textId="13FC4602" w:rsidR="000E6B07" w:rsidRPr="001D164C" w:rsidRDefault="000E6B07" w:rsidP="00517EBB">
      <w:pPr>
        <w:pStyle w:val="ListParagraph"/>
        <w:numPr>
          <w:ilvl w:val="0"/>
          <w:numId w:val="1"/>
        </w:numPr>
      </w:pPr>
      <w:r w:rsidRPr="001D164C">
        <w:t>Travel costs do not apply for a telephone hearing but the fixed sum for loss of earnings/loss of leave apply to any hearing format and are fixed at PD 27, 7.3(1) ''The amounts which a party may be ordered to pay under rule 27.14(3)(c) (loss of earnings)... are: (1) for the loss of earnings or loss of leave of each party or witness due to attending a hearing ... a sum not exceeding £95 per day for each person.''</w:t>
      </w:r>
    </w:p>
    <w:p w14:paraId="18A7D52C" w14:textId="77777777" w:rsidR="000E6B07" w:rsidRPr="001D164C" w:rsidRDefault="000E6B07" w:rsidP="001D164C"/>
    <w:p w14:paraId="7D723ABA" w14:textId="496F0266" w:rsidR="000E6B07" w:rsidRDefault="005136F1" w:rsidP="001D164C">
      <w:pPr>
        <w:rPr>
          <w:b/>
          <w:bCs/>
          <w:u w:val="single"/>
        </w:rPr>
      </w:pPr>
      <w:r>
        <w:rPr>
          <w:b/>
          <w:bCs/>
          <w:u w:val="single"/>
        </w:rPr>
        <w:t>F</w:t>
      </w:r>
      <w:r w:rsidR="000E6B07" w:rsidRPr="001D164C">
        <w:rPr>
          <w:b/>
          <w:bCs/>
          <w:u w:val="single"/>
        </w:rPr>
        <w:t>urther costs for the wholly unreasonable conduct of this Claimant</w:t>
      </w:r>
      <w:r w:rsidRPr="005136F1">
        <w:rPr>
          <w:b/>
          <w:bCs/>
          <w:u w:val="single"/>
        </w:rPr>
        <w:t xml:space="preserve"> </w:t>
      </w:r>
      <w:r>
        <w:rPr>
          <w:b/>
          <w:bCs/>
          <w:u w:val="single"/>
        </w:rPr>
        <w:t xml:space="preserve">– </w:t>
      </w:r>
      <w:r w:rsidRPr="001D164C">
        <w:rPr>
          <w:b/>
          <w:bCs/>
          <w:u w:val="single"/>
        </w:rPr>
        <w:t>CPR 44.11</w:t>
      </w:r>
    </w:p>
    <w:p w14:paraId="75CBA4AF" w14:textId="77777777" w:rsidR="001D164C" w:rsidRPr="001D164C" w:rsidRDefault="001D164C" w:rsidP="001D164C">
      <w:pPr>
        <w:rPr>
          <w:b/>
          <w:bCs/>
          <w:u w:val="single"/>
        </w:rPr>
      </w:pPr>
    </w:p>
    <w:p w14:paraId="2243DDFE" w14:textId="049117F7" w:rsidR="000E6B07" w:rsidRPr="001D164C" w:rsidRDefault="000E6B07" w:rsidP="00517EBB">
      <w:pPr>
        <w:pStyle w:val="ListParagraph"/>
        <w:numPr>
          <w:ilvl w:val="0"/>
          <w:numId w:val="1"/>
        </w:numPr>
      </w:pPr>
      <w:r w:rsidRPr="001D164C">
        <w:t>As a litigant-in-person</w:t>
      </w:r>
      <w:r w:rsidR="001D164C">
        <w:t>,</w:t>
      </w:r>
      <w:r w:rsidRPr="001D164C">
        <w:t xml:space="preserve"> I have had to learn relevant law from the ground up and spent a considerable time researching the law online, processing and preparing my defence plus this witness statement</w:t>
      </w:r>
      <w:r w:rsidR="001D164C">
        <w:t xml:space="preserve"> and related materials</w:t>
      </w:r>
      <w:r w:rsidRPr="001D164C">
        <w:t>. </w:t>
      </w:r>
      <w:r w:rsidR="001D164C">
        <w:t>My personal</w:t>
      </w:r>
      <w:r w:rsidRPr="001D164C">
        <w:t xml:space="preserve"> life has been severely impacted and this matter has been hanging over me for </w:t>
      </w:r>
      <w:r w:rsidR="001D164C">
        <w:t>2 years</w:t>
      </w:r>
      <w:r w:rsidRPr="001D164C">
        <w:t xml:space="preserve">. I am appending with this bundle, a fully detailed costs assessment </w:t>
      </w:r>
      <w:r w:rsidR="00E75889">
        <w:t>that</w:t>
      </w:r>
      <w:r w:rsidRPr="001D164C">
        <w:t xml:space="preserve"> also covers my proportionate further costs and I invite the court to consider making an award to include these, pursuant to the court's powers in relation to misconduct (CPR 44.11).</w:t>
      </w:r>
      <w:r w:rsidR="00E75889">
        <w:t xml:space="preserve"> </w:t>
      </w:r>
      <w:r w:rsidRPr="001D164C">
        <w:t xml:space="preserve">Not only could this claim have been avoided and the Claimant has no cause of action and no legitimate interest in pursuing </w:t>
      </w:r>
      <w:r w:rsidR="00E75889">
        <w:t>me</w:t>
      </w:r>
      <w:r w:rsidRPr="001D164C">
        <w:t xml:space="preserve">, relying upon the entrapment of </w:t>
      </w:r>
      <w:r w:rsidR="00E75889">
        <w:t>insufficient</w:t>
      </w:r>
      <w:r w:rsidRPr="001D164C">
        <w:t xml:space="preserve"> sign</w:t>
      </w:r>
      <w:r w:rsidR="00E75889">
        <w:t xml:space="preserve">age, </w:t>
      </w:r>
      <w:r w:rsidRPr="001D164C">
        <w:t xml:space="preserve">but it is also vexatious to pursue an inflated sum that </w:t>
      </w:r>
      <w:r w:rsidRPr="001D164C">
        <w:lastRenderedPageBreak/>
        <w:t>includes double recovery.  It is my position that the Claimant's conduct in pre-and post-litigation has crossed the line of unreasonable conduct.</w:t>
      </w:r>
    </w:p>
    <w:p w14:paraId="42671234" w14:textId="77777777" w:rsidR="00502BC0" w:rsidRPr="001D164C" w:rsidRDefault="00502BC0" w:rsidP="001D164C"/>
    <w:p w14:paraId="2DB107BB" w14:textId="4C7371A0" w:rsidR="005B1004" w:rsidRPr="00E75889" w:rsidRDefault="00426648" w:rsidP="00517EBB">
      <w:pPr>
        <w:pStyle w:val="ListParagraph"/>
        <w:numPr>
          <w:ilvl w:val="0"/>
          <w:numId w:val="1"/>
        </w:numPr>
      </w:pPr>
      <w:r>
        <w:t>I Invite the Court to dismiss this claim in its entirety, and to awar</w:t>
      </w:r>
      <w:r w:rsidR="008852CE">
        <w:t>d</w:t>
      </w:r>
      <w:r>
        <w:t xml:space="preserve"> my costs of attendance at the hearing, as such as are allowable pursuant to CPR 27.14, see </w:t>
      </w:r>
      <w:r w:rsidRPr="00502BC0">
        <w:rPr>
          <w:b/>
          <w:bCs/>
        </w:rPr>
        <w:t>xxxx</w:t>
      </w:r>
      <w:r>
        <w:t>.</w:t>
      </w:r>
    </w:p>
    <w:p w14:paraId="011AAB07" w14:textId="771FE6BC" w:rsidR="005E1B88" w:rsidRDefault="005E1B88"/>
    <w:p w14:paraId="1DE3A72C" w14:textId="19EA71D2" w:rsidR="005E1B88" w:rsidRPr="005E1B88" w:rsidRDefault="005E1B88">
      <w:pPr>
        <w:rPr>
          <w:b/>
          <w:bCs/>
        </w:rPr>
      </w:pPr>
      <w:r w:rsidRPr="005E1B88">
        <w:rPr>
          <w:b/>
          <w:bCs/>
        </w:rPr>
        <w:t>Statement of Truth</w:t>
      </w:r>
    </w:p>
    <w:p w14:paraId="7A79843C" w14:textId="66953155" w:rsidR="005E1B88" w:rsidRDefault="00B25A24">
      <w:r w:rsidRPr="00B25A24">
        <w:t>I believe that the facts stated in this witness statement are true. I understand that proceedings for contempt of court may be brought against anyone who makes, or causes to be made, a false statement in a document verified by a statement of truth without an honest belief in its truth.</w:t>
      </w:r>
    </w:p>
    <w:p w14:paraId="133B88EC" w14:textId="521D53BD" w:rsidR="005E1B88" w:rsidRDefault="005E1B88"/>
    <w:p w14:paraId="4A225A51" w14:textId="6F5E065F" w:rsidR="005E1B88" w:rsidRDefault="005E1B88">
      <w:r>
        <w:t>Defendant’s signature:</w:t>
      </w:r>
    </w:p>
    <w:p w14:paraId="05274F98" w14:textId="1A2153F3" w:rsidR="005E1B88" w:rsidRDefault="005E1B88">
      <w:r>
        <w:t>Defendant’s name:</w:t>
      </w:r>
    </w:p>
    <w:p w14:paraId="0B9E511F" w14:textId="207EE73A" w:rsidR="005E1B88" w:rsidRDefault="005E1B88">
      <w:r>
        <w:t>Date</w:t>
      </w:r>
    </w:p>
    <w:sectPr w:rsidR="005E1B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D6D76"/>
    <w:multiLevelType w:val="multilevel"/>
    <w:tmpl w:val="406CBBE2"/>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FF71CFF"/>
    <w:multiLevelType w:val="hybridMultilevel"/>
    <w:tmpl w:val="21868E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910A3C"/>
    <w:multiLevelType w:val="multilevel"/>
    <w:tmpl w:val="406CBBE2"/>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C325F14"/>
    <w:multiLevelType w:val="multilevel"/>
    <w:tmpl w:val="406CBBE2"/>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5EE23E00"/>
    <w:multiLevelType w:val="multilevel"/>
    <w:tmpl w:val="B14EAE6A"/>
    <w:lvl w:ilvl="0">
      <w:start w:val="1"/>
      <w:numFmt w:val="decimal"/>
      <w:lvlText w:val="%1."/>
      <w:lvlJc w:val="left"/>
      <w:pPr>
        <w:ind w:left="720" w:hanging="360"/>
      </w:pPr>
      <w:rPr>
        <w:rFonts w:hint="default"/>
        <w:b w:val="0"/>
        <w:bCs w:val="0"/>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5FE77E7B"/>
    <w:multiLevelType w:val="multilevel"/>
    <w:tmpl w:val="B14EAE6A"/>
    <w:lvl w:ilvl="0">
      <w:start w:val="1"/>
      <w:numFmt w:val="decimal"/>
      <w:lvlText w:val="%1."/>
      <w:lvlJc w:val="left"/>
      <w:pPr>
        <w:ind w:left="720" w:hanging="360"/>
      </w:pPr>
      <w:rPr>
        <w:rFonts w:hint="default"/>
        <w:b w:val="0"/>
        <w:bCs w:val="0"/>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7DA448CC"/>
    <w:multiLevelType w:val="multilevel"/>
    <w:tmpl w:val="26B4377E"/>
    <w:lvl w:ilvl="0">
      <w:start w:val="1"/>
      <w:numFmt w:val="decimal"/>
      <w:lvlText w:val="%1."/>
      <w:lvlJc w:val="left"/>
      <w:pPr>
        <w:ind w:left="720" w:hanging="360"/>
      </w:pPr>
      <w:rPr>
        <w:rFonts w:hint="default"/>
        <w:b w:val="0"/>
        <w:bCs w:val="0"/>
        <w:i w:val="0"/>
        <w:iCs w:val="0"/>
      </w:rPr>
    </w:lvl>
    <w:lvl w:ilvl="1">
      <w:start w:val="1"/>
      <w:numFmt w:val="decimal"/>
      <w:isLgl/>
      <w:lvlText w:val="%1.%2."/>
      <w:lvlJc w:val="left"/>
      <w:pPr>
        <w:ind w:left="795" w:hanging="435"/>
      </w:pPr>
      <w:rPr>
        <w:rFonts w:hint="default"/>
        <w:i w:val="0"/>
        <w:i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6"/>
  </w:num>
  <w:num w:numId="2">
    <w:abstractNumId w:val="1"/>
  </w:num>
  <w:num w:numId="3">
    <w:abstractNumId w:val="3"/>
  </w:num>
  <w:num w:numId="4">
    <w:abstractNumId w:val="0"/>
  </w:num>
  <w:num w:numId="5">
    <w:abstractNumId w:val="2"/>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B88"/>
    <w:rsid w:val="00053833"/>
    <w:rsid w:val="000952E8"/>
    <w:rsid w:val="000C1420"/>
    <w:rsid w:val="000C182B"/>
    <w:rsid w:val="000C6D16"/>
    <w:rsid w:val="000E6B07"/>
    <w:rsid w:val="001121E3"/>
    <w:rsid w:val="00114A44"/>
    <w:rsid w:val="00123714"/>
    <w:rsid w:val="00132277"/>
    <w:rsid w:val="001B017D"/>
    <w:rsid w:val="001D164C"/>
    <w:rsid w:val="001F70E8"/>
    <w:rsid w:val="00225650"/>
    <w:rsid w:val="0024479C"/>
    <w:rsid w:val="00271EFA"/>
    <w:rsid w:val="00280E3B"/>
    <w:rsid w:val="002C7763"/>
    <w:rsid w:val="0030765D"/>
    <w:rsid w:val="00332489"/>
    <w:rsid w:val="003343BC"/>
    <w:rsid w:val="003509D3"/>
    <w:rsid w:val="003A358B"/>
    <w:rsid w:val="003F77BE"/>
    <w:rsid w:val="00410214"/>
    <w:rsid w:val="00426648"/>
    <w:rsid w:val="004F093F"/>
    <w:rsid w:val="00502BC0"/>
    <w:rsid w:val="005136F1"/>
    <w:rsid w:val="00517EBB"/>
    <w:rsid w:val="005714F0"/>
    <w:rsid w:val="005B1004"/>
    <w:rsid w:val="005C70A7"/>
    <w:rsid w:val="005D08A3"/>
    <w:rsid w:val="005E1B88"/>
    <w:rsid w:val="00623E09"/>
    <w:rsid w:val="006B2F8D"/>
    <w:rsid w:val="006C62A1"/>
    <w:rsid w:val="006C78D0"/>
    <w:rsid w:val="006E0F3C"/>
    <w:rsid w:val="007B618F"/>
    <w:rsid w:val="007B7749"/>
    <w:rsid w:val="007D5B88"/>
    <w:rsid w:val="007F47BE"/>
    <w:rsid w:val="00841980"/>
    <w:rsid w:val="008852CE"/>
    <w:rsid w:val="008B5D95"/>
    <w:rsid w:val="008E4B69"/>
    <w:rsid w:val="008F149F"/>
    <w:rsid w:val="00904ACB"/>
    <w:rsid w:val="0094588E"/>
    <w:rsid w:val="00961CFD"/>
    <w:rsid w:val="00A04F37"/>
    <w:rsid w:val="00A13520"/>
    <w:rsid w:val="00A37659"/>
    <w:rsid w:val="00A42A15"/>
    <w:rsid w:val="00A54047"/>
    <w:rsid w:val="00A54D96"/>
    <w:rsid w:val="00A8417A"/>
    <w:rsid w:val="00AA7990"/>
    <w:rsid w:val="00AC667C"/>
    <w:rsid w:val="00B03709"/>
    <w:rsid w:val="00B25A24"/>
    <w:rsid w:val="00C65137"/>
    <w:rsid w:val="00C97805"/>
    <w:rsid w:val="00D34796"/>
    <w:rsid w:val="00D60C3A"/>
    <w:rsid w:val="00D7278D"/>
    <w:rsid w:val="00D85563"/>
    <w:rsid w:val="00DA4BF9"/>
    <w:rsid w:val="00DC569C"/>
    <w:rsid w:val="00E00334"/>
    <w:rsid w:val="00E75889"/>
    <w:rsid w:val="00EC43B0"/>
    <w:rsid w:val="00F21080"/>
    <w:rsid w:val="00F27430"/>
    <w:rsid w:val="00F46189"/>
    <w:rsid w:val="00FF1E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6F6F8"/>
  <w15:chartTrackingRefBased/>
  <w15:docId w15:val="{9CB32CA0-60F4-4A14-A41D-4DDB1D452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1B88"/>
    <w:pPr>
      <w:ind w:left="720"/>
      <w:contextualSpacing/>
    </w:pPr>
  </w:style>
  <w:style w:type="paragraph" w:styleId="NormalWeb">
    <w:name w:val="Normal (Web)"/>
    <w:basedOn w:val="Normal"/>
    <w:uiPriority w:val="99"/>
    <w:semiHidden/>
    <w:unhideWhenUsed/>
    <w:rsid w:val="005B100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5316768">
      <w:bodyDiv w:val="1"/>
      <w:marLeft w:val="0"/>
      <w:marRight w:val="0"/>
      <w:marTop w:val="0"/>
      <w:marBottom w:val="0"/>
      <w:divBdr>
        <w:top w:val="none" w:sz="0" w:space="0" w:color="auto"/>
        <w:left w:val="none" w:sz="0" w:space="0" w:color="auto"/>
        <w:bottom w:val="none" w:sz="0" w:space="0" w:color="auto"/>
        <w:right w:val="none" w:sz="0" w:space="0" w:color="auto"/>
      </w:divBdr>
    </w:div>
    <w:div w:id="595984414">
      <w:bodyDiv w:val="1"/>
      <w:marLeft w:val="0"/>
      <w:marRight w:val="0"/>
      <w:marTop w:val="0"/>
      <w:marBottom w:val="0"/>
      <w:divBdr>
        <w:top w:val="none" w:sz="0" w:space="0" w:color="auto"/>
        <w:left w:val="none" w:sz="0" w:space="0" w:color="auto"/>
        <w:bottom w:val="none" w:sz="0" w:space="0" w:color="auto"/>
        <w:right w:val="none" w:sz="0" w:space="0" w:color="auto"/>
      </w:divBdr>
    </w:div>
    <w:div w:id="661541456">
      <w:bodyDiv w:val="1"/>
      <w:marLeft w:val="0"/>
      <w:marRight w:val="0"/>
      <w:marTop w:val="0"/>
      <w:marBottom w:val="0"/>
      <w:divBdr>
        <w:top w:val="none" w:sz="0" w:space="0" w:color="auto"/>
        <w:left w:val="none" w:sz="0" w:space="0" w:color="auto"/>
        <w:bottom w:val="none" w:sz="0" w:space="0" w:color="auto"/>
        <w:right w:val="none" w:sz="0" w:space="0" w:color="auto"/>
      </w:divBdr>
    </w:div>
    <w:div w:id="1026901950">
      <w:bodyDiv w:val="1"/>
      <w:marLeft w:val="0"/>
      <w:marRight w:val="0"/>
      <w:marTop w:val="0"/>
      <w:marBottom w:val="0"/>
      <w:divBdr>
        <w:top w:val="none" w:sz="0" w:space="0" w:color="auto"/>
        <w:left w:val="none" w:sz="0" w:space="0" w:color="auto"/>
        <w:bottom w:val="none" w:sz="0" w:space="0" w:color="auto"/>
        <w:right w:val="none" w:sz="0" w:space="0" w:color="auto"/>
      </w:divBdr>
      <w:divsChild>
        <w:div w:id="318309543">
          <w:marLeft w:val="0"/>
          <w:marRight w:val="0"/>
          <w:marTop w:val="0"/>
          <w:marBottom w:val="210"/>
          <w:divBdr>
            <w:top w:val="none" w:sz="0" w:space="0" w:color="auto"/>
            <w:left w:val="none" w:sz="0" w:space="0" w:color="auto"/>
            <w:bottom w:val="none" w:sz="0" w:space="0" w:color="auto"/>
            <w:right w:val="none" w:sz="0" w:space="0" w:color="auto"/>
          </w:divBdr>
        </w:div>
        <w:div w:id="121575940">
          <w:marLeft w:val="0"/>
          <w:marRight w:val="0"/>
          <w:marTop w:val="0"/>
          <w:marBottom w:val="210"/>
          <w:divBdr>
            <w:top w:val="none" w:sz="0" w:space="0" w:color="auto"/>
            <w:left w:val="none" w:sz="0" w:space="0" w:color="auto"/>
            <w:bottom w:val="none" w:sz="0" w:space="0" w:color="auto"/>
            <w:right w:val="none" w:sz="0" w:space="0" w:color="auto"/>
          </w:divBdr>
        </w:div>
        <w:div w:id="267589314">
          <w:marLeft w:val="0"/>
          <w:marRight w:val="0"/>
          <w:marTop w:val="0"/>
          <w:marBottom w:val="210"/>
          <w:divBdr>
            <w:top w:val="none" w:sz="0" w:space="0" w:color="auto"/>
            <w:left w:val="none" w:sz="0" w:space="0" w:color="auto"/>
            <w:bottom w:val="none" w:sz="0" w:space="0" w:color="auto"/>
            <w:right w:val="none" w:sz="0" w:space="0" w:color="auto"/>
          </w:divBdr>
        </w:div>
        <w:div w:id="740373134">
          <w:marLeft w:val="0"/>
          <w:marRight w:val="0"/>
          <w:marTop w:val="0"/>
          <w:marBottom w:val="210"/>
          <w:divBdr>
            <w:top w:val="none" w:sz="0" w:space="0" w:color="auto"/>
            <w:left w:val="none" w:sz="0" w:space="0" w:color="auto"/>
            <w:bottom w:val="none" w:sz="0" w:space="0" w:color="auto"/>
            <w:right w:val="none" w:sz="0" w:space="0" w:color="auto"/>
          </w:divBdr>
        </w:div>
        <w:div w:id="2080665543">
          <w:marLeft w:val="0"/>
          <w:marRight w:val="0"/>
          <w:marTop w:val="0"/>
          <w:marBottom w:val="210"/>
          <w:divBdr>
            <w:top w:val="none" w:sz="0" w:space="0" w:color="auto"/>
            <w:left w:val="none" w:sz="0" w:space="0" w:color="auto"/>
            <w:bottom w:val="none" w:sz="0" w:space="0" w:color="auto"/>
            <w:right w:val="none" w:sz="0" w:space="0" w:color="auto"/>
          </w:divBdr>
        </w:div>
        <w:div w:id="1060831817">
          <w:marLeft w:val="0"/>
          <w:marRight w:val="0"/>
          <w:marTop w:val="0"/>
          <w:marBottom w:val="210"/>
          <w:divBdr>
            <w:top w:val="none" w:sz="0" w:space="0" w:color="auto"/>
            <w:left w:val="none" w:sz="0" w:space="0" w:color="auto"/>
            <w:bottom w:val="none" w:sz="0" w:space="0" w:color="auto"/>
            <w:right w:val="none" w:sz="0" w:space="0" w:color="auto"/>
          </w:divBdr>
        </w:div>
        <w:div w:id="849443243">
          <w:marLeft w:val="0"/>
          <w:marRight w:val="0"/>
          <w:marTop w:val="0"/>
          <w:marBottom w:val="210"/>
          <w:divBdr>
            <w:top w:val="none" w:sz="0" w:space="0" w:color="auto"/>
            <w:left w:val="none" w:sz="0" w:space="0" w:color="auto"/>
            <w:bottom w:val="none" w:sz="0" w:space="0" w:color="auto"/>
            <w:right w:val="none" w:sz="0" w:space="0" w:color="auto"/>
          </w:divBdr>
        </w:div>
        <w:div w:id="926303232">
          <w:marLeft w:val="0"/>
          <w:marRight w:val="0"/>
          <w:marTop w:val="0"/>
          <w:marBottom w:val="210"/>
          <w:divBdr>
            <w:top w:val="none" w:sz="0" w:space="0" w:color="auto"/>
            <w:left w:val="none" w:sz="0" w:space="0" w:color="auto"/>
            <w:bottom w:val="none" w:sz="0" w:space="0" w:color="auto"/>
            <w:right w:val="none" w:sz="0" w:space="0" w:color="auto"/>
          </w:divBdr>
        </w:div>
        <w:div w:id="1239249252">
          <w:marLeft w:val="0"/>
          <w:marRight w:val="0"/>
          <w:marTop w:val="0"/>
          <w:marBottom w:val="210"/>
          <w:divBdr>
            <w:top w:val="none" w:sz="0" w:space="0" w:color="auto"/>
            <w:left w:val="none" w:sz="0" w:space="0" w:color="auto"/>
            <w:bottom w:val="none" w:sz="0" w:space="0" w:color="auto"/>
            <w:right w:val="none" w:sz="0" w:space="0" w:color="auto"/>
          </w:divBdr>
        </w:div>
        <w:div w:id="650671291">
          <w:marLeft w:val="0"/>
          <w:marRight w:val="0"/>
          <w:marTop w:val="0"/>
          <w:marBottom w:val="210"/>
          <w:divBdr>
            <w:top w:val="none" w:sz="0" w:space="0" w:color="auto"/>
            <w:left w:val="none" w:sz="0" w:space="0" w:color="auto"/>
            <w:bottom w:val="none" w:sz="0" w:space="0" w:color="auto"/>
            <w:right w:val="none" w:sz="0" w:space="0" w:color="auto"/>
          </w:divBdr>
        </w:div>
        <w:div w:id="1572275801">
          <w:marLeft w:val="0"/>
          <w:marRight w:val="0"/>
          <w:marTop w:val="0"/>
          <w:marBottom w:val="210"/>
          <w:divBdr>
            <w:top w:val="none" w:sz="0" w:space="0" w:color="auto"/>
            <w:left w:val="none" w:sz="0" w:space="0" w:color="auto"/>
            <w:bottom w:val="none" w:sz="0" w:space="0" w:color="auto"/>
            <w:right w:val="none" w:sz="0" w:space="0" w:color="auto"/>
          </w:divBdr>
        </w:div>
        <w:div w:id="552810674">
          <w:marLeft w:val="0"/>
          <w:marRight w:val="0"/>
          <w:marTop w:val="0"/>
          <w:marBottom w:val="210"/>
          <w:divBdr>
            <w:top w:val="none" w:sz="0" w:space="0" w:color="auto"/>
            <w:left w:val="none" w:sz="0" w:space="0" w:color="auto"/>
            <w:bottom w:val="none" w:sz="0" w:space="0" w:color="auto"/>
            <w:right w:val="none" w:sz="0" w:space="0" w:color="auto"/>
          </w:divBdr>
        </w:div>
        <w:div w:id="688063688">
          <w:marLeft w:val="0"/>
          <w:marRight w:val="0"/>
          <w:marTop w:val="0"/>
          <w:marBottom w:val="210"/>
          <w:divBdr>
            <w:top w:val="none" w:sz="0" w:space="0" w:color="auto"/>
            <w:left w:val="none" w:sz="0" w:space="0" w:color="auto"/>
            <w:bottom w:val="none" w:sz="0" w:space="0" w:color="auto"/>
            <w:right w:val="none" w:sz="0" w:space="0" w:color="auto"/>
          </w:divBdr>
        </w:div>
        <w:div w:id="1842549566">
          <w:marLeft w:val="0"/>
          <w:marRight w:val="0"/>
          <w:marTop w:val="0"/>
          <w:marBottom w:val="210"/>
          <w:divBdr>
            <w:top w:val="none" w:sz="0" w:space="0" w:color="auto"/>
            <w:left w:val="none" w:sz="0" w:space="0" w:color="auto"/>
            <w:bottom w:val="none" w:sz="0" w:space="0" w:color="auto"/>
            <w:right w:val="none" w:sz="0" w:space="0" w:color="auto"/>
          </w:divBdr>
        </w:div>
        <w:div w:id="820778829">
          <w:marLeft w:val="0"/>
          <w:marRight w:val="0"/>
          <w:marTop w:val="0"/>
          <w:marBottom w:val="210"/>
          <w:divBdr>
            <w:top w:val="none" w:sz="0" w:space="0" w:color="auto"/>
            <w:left w:val="none" w:sz="0" w:space="0" w:color="auto"/>
            <w:bottom w:val="none" w:sz="0" w:space="0" w:color="auto"/>
            <w:right w:val="none" w:sz="0" w:space="0" w:color="auto"/>
          </w:divBdr>
        </w:div>
        <w:div w:id="1884560565">
          <w:marLeft w:val="0"/>
          <w:marRight w:val="0"/>
          <w:marTop w:val="0"/>
          <w:marBottom w:val="210"/>
          <w:divBdr>
            <w:top w:val="none" w:sz="0" w:space="0" w:color="auto"/>
            <w:left w:val="none" w:sz="0" w:space="0" w:color="auto"/>
            <w:bottom w:val="none" w:sz="0" w:space="0" w:color="auto"/>
            <w:right w:val="none" w:sz="0" w:space="0" w:color="auto"/>
          </w:divBdr>
        </w:div>
        <w:div w:id="1403793421">
          <w:marLeft w:val="0"/>
          <w:marRight w:val="0"/>
          <w:marTop w:val="0"/>
          <w:marBottom w:val="210"/>
          <w:divBdr>
            <w:top w:val="none" w:sz="0" w:space="0" w:color="auto"/>
            <w:left w:val="none" w:sz="0" w:space="0" w:color="auto"/>
            <w:bottom w:val="none" w:sz="0" w:space="0" w:color="auto"/>
            <w:right w:val="none" w:sz="0" w:space="0" w:color="auto"/>
          </w:divBdr>
        </w:div>
        <w:div w:id="1955672737">
          <w:marLeft w:val="0"/>
          <w:marRight w:val="0"/>
          <w:marTop w:val="0"/>
          <w:marBottom w:val="210"/>
          <w:divBdr>
            <w:top w:val="none" w:sz="0" w:space="0" w:color="auto"/>
            <w:left w:val="none" w:sz="0" w:space="0" w:color="auto"/>
            <w:bottom w:val="none" w:sz="0" w:space="0" w:color="auto"/>
            <w:right w:val="none" w:sz="0" w:space="0" w:color="auto"/>
          </w:divBdr>
        </w:div>
        <w:div w:id="1686594068">
          <w:marLeft w:val="0"/>
          <w:marRight w:val="0"/>
          <w:marTop w:val="0"/>
          <w:marBottom w:val="210"/>
          <w:divBdr>
            <w:top w:val="none" w:sz="0" w:space="0" w:color="auto"/>
            <w:left w:val="none" w:sz="0" w:space="0" w:color="auto"/>
            <w:bottom w:val="none" w:sz="0" w:space="0" w:color="auto"/>
            <w:right w:val="none" w:sz="0" w:space="0" w:color="auto"/>
          </w:divBdr>
        </w:div>
        <w:div w:id="1281104637">
          <w:marLeft w:val="0"/>
          <w:marRight w:val="0"/>
          <w:marTop w:val="0"/>
          <w:marBottom w:val="210"/>
          <w:divBdr>
            <w:top w:val="none" w:sz="0" w:space="0" w:color="auto"/>
            <w:left w:val="none" w:sz="0" w:space="0" w:color="auto"/>
            <w:bottom w:val="none" w:sz="0" w:space="0" w:color="auto"/>
            <w:right w:val="none" w:sz="0" w:space="0" w:color="auto"/>
          </w:divBdr>
        </w:div>
        <w:div w:id="2104372164">
          <w:marLeft w:val="0"/>
          <w:marRight w:val="0"/>
          <w:marTop w:val="0"/>
          <w:marBottom w:val="210"/>
          <w:divBdr>
            <w:top w:val="none" w:sz="0" w:space="0" w:color="auto"/>
            <w:left w:val="none" w:sz="0" w:space="0" w:color="auto"/>
            <w:bottom w:val="none" w:sz="0" w:space="0" w:color="auto"/>
            <w:right w:val="none" w:sz="0" w:space="0" w:color="auto"/>
          </w:divBdr>
        </w:div>
        <w:div w:id="35084037">
          <w:marLeft w:val="0"/>
          <w:marRight w:val="0"/>
          <w:marTop w:val="0"/>
          <w:marBottom w:val="210"/>
          <w:divBdr>
            <w:top w:val="none" w:sz="0" w:space="0" w:color="auto"/>
            <w:left w:val="none" w:sz="0" w:space="0" w:color="auto"/>
            <w:bottom w:val="none" w:sz="0" w:space="0" w:color="auto"/>
            <w:right w:val="none" w:sz="0" w:space="0" w:color="auto"/>
          </w:divBdr>
        </w:div>
      </w:divsChild>
    </w:div>
    <w:div w:id="1235120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5</Pages>
  <Words>1583</Words>
  <Characters>9029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Rio</dc:creator>
  <cp:keywords/>
  <dc:description/>
  <cp:lastModifiedBy>Jon Rio</cp:lastModifiedBy>
  <cp:revision>10</cp:revision>
  <dcterms:created xsi:type="dcterms:W3CDTF">2020-09-16T16:55:00Z</dcterms:created>
  <dcterms:modified xsi:type="dcterms:W3CDTF">2020-09-16T20:33:00Z</dcterms:modified>
</cp:coreProperties>
</file>