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highlight w:val="white"/>
          <w:rtl w:val="0"/>
        </w:rPr>
        <w:t xml:space="preserve">In the County Court at Canterbury</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highlight w:val="white"/>
          <w:rtl w:val="0"/>
        </w:rPr>
        <w:t xml:space="preserve">Claim No. XXXXXXX</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highlight w:val="white"/>
          <w:rtl w:val="0"/>
        </w:rPr>
        <w:t xml:space="preserve">Between UK Car Park Management Limited(Claimant)</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highlight w:val="white"/>
          <w:rtl w:val="0"/>
        </w:rPr>
        <w:t xml:space="preserve">And</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highlight w:val="white"/>
          <w:rtl w:val="0"/>
        </w:rPr>
        <w:t xml:space="preserve">Brentmeister2k (Defendant)</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highlight w:val="white"/>
          <w:rtl w:val="0"/>
        </w:rPr>
        <w:t xml:space="preserve">Witness Statement</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highlight w:val="white"/>
          <w:rtl w:val="0"/>
        </w:rPr>
        <w:t xml:space="preserve">Witness Statement</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pacing w:line="331.2" w:lineRule="auto"/>
        <w:ind w:left="720" w:firstLine="0"/>
        <w:rPr>
          <w:highlight w:val="white"/>
        </w:rPr>
      </w:pPr>
      <w:r w:rsidDel="00000000" w:rsidR="00000000" w:rsidRPr="00000000">
        <w:rPr>
          <w:rtl w:val="0"/>
        </w:rPr>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I am xxxxxx xxxxxxxx of xxxx {address} xxxx the Defendant in this matter. I will say as follows:</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My defence is appended and repeated. In support, I append the following evidence:</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10">
      <w:pPr>
        <w:numPr>
          <w:ilvl w:val="1"/>
          <w:numId w:val="2"/>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Exhibits A and B relate to the matter of the inadequate signage - a photograph of a standard 45cm square OPS sign compared to Exhibit C, the notably very different ‘prominent and large lettering with the parking charge in the largest font’ sign accepted by the Supreme Court in ParkingEye Ltd v Beavis [2015].</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12">
      <w:pPr>
        <w:numPr>
          <w:ilvl w:val="1"/>
          <w:numId w:val="2"/>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Exhibit D  – the Consumer Rights Act 2015 ('CRA') Sch2 is appended and the court’s attention is drawn to its duty in s71 and must consider the breaches of paras 6, 10, 14 and 18 of the appended schedule of terms that are likely to be unfair.   Exhibit E – re the matter of the abuse of process of the Claimant adding a false 'costs' sum of £60, the case of Britannia Parking v Crosby (Southampton Court application hearing following a strike-out order) is appended.  My case is the same in this regard.</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14">
      <w:pPr>
        <w:numPr>
          <w:ilvl w:val="1"/>
          <w:numId w:val="2"/>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The facts are that my wife, my 2 year old daughter and I were visiting the Chatham Dockyard shopping centre for the first time on 26/08/18, I was driving vehicle registration XXX XXX.  We intended to visit for circa 30 minutes as we were only planning to visit one shop to purchase some shoes for my Daughter.</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pacing w:line="331.2" w:lineRule="auto"/>
        <w:ind w:left="720" w:firstLine="0"/>
        <w:rPr>
          <w:highlight w:val="white"/>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17">
      <w:pPr>
        <w:numPr>
          <w:ilvl w:val="0"/>
          <w:numId w:val="1"/>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I found the whole centre and car park offering confusing and believe I parked in the adjoining car park for Quay 5 retail park, rather than the Dockside outlet although they are right next to one another and difficult to differentiate.</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19">
      <w:pPr>
        <w:numPr>
          <w:ilvl w:val="0"/>
          <w:numId w:val="1"/>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On parking I went to the pay and display machine to purchase a ticket, I noticed the parking was free for 4 hours and attempted to obtain a ticket from the machine without paying. The machine did not give a ticket out, there were several other shoppers nearby and trying to use the machine and we all concluded that given the 4 hours free parking and that we could not obtain any form of ticket from the machine that no ticket must be needed.</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1B">
      <w:pPr>
        <w:numPr>
          <w:ilvl w:val="0"/>
          <w:numId w:val="1"/>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I completed my visit to the nearby shops and ended up being around 1 hour as I visited 2 additional shops but returned well within the free 4 hour period.</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1D">
      <w:pPr>
        <w:numPr>
          <w:ilvl w:val="0"/>
          <w:numId w:val="1"/>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On returning to the vehicle I found the parking ticket and noticed a large number of other vehicles with parking tickets. I spoke to several other drivers who had made a similar mistake to me.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1F">
      <w:pPr>
        <w:numPr>
          <w:ilvl w:val="0"/>
          <w:numId w:val="1"/>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I am unsure if the the ticket machine was faulty or confusing to use but given that I was not alone in my error I was left confused.</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21">
      <w:pPr>
        <w:numPr>
          <w:ilvl w:val="0"/>
          <w:numId w:val="1"/>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I was initally unclear if I had received the PCN due to parking in one shopping centre and visiting another or what the issue was. I appealed via email to the Claimant on the grounds of this but it was rejected.</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23">
      <w:pPr>
        <w:numPr>
          <w:ilvl w:val="0"/>
          <w:numId w:val="1"/>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I visited the same car park in November 2019 when preparing my defence and took several photos of signage including that in exhibit A.</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25">
      <w:pPr>
        <w:numPr>
          <w:ilvl w:val="0"/>
          <w:numId w:val="1"/>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As part of the Witness Statement provided by the claimant they have provided an altered version of the same sign which I have titled exhibit B. Please note the additional text present in exhibit B in bright bold capital red lettering stating "FREE TICKET MUST BE DISPLAYED."</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27">
      <w:pPr>
        <w:numPr>
          <w:ilvl w:val="0"/>
          <w:numId w:val="1"/>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This altered signage was not present when I visited the car park in August 2018 to park or when I visited to collect my evidence in November 2019 as exhibit A clearly demonstrates a similar sign that I viewed and photographed in November 2019 is not nearly as clear.</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29">
      <w:pPr>
        <w:numPr>
          <w:ilvl w:val="0"/>
          <w:numId w:val="1"/>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This improved and clear signage makes it very clear that a pay and display ticket was required and the operators of the car park clearly feel it is necessary to have updated the signage. I would question therefore how they are able to prove that I should have been aware of my obligation to display a free ticket without this improved signage.</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pacing w:line="331.2" w:lineRule="auto"/>
        <w:rPr>
          <w:highlight w:val="white"/>
        </w:rPr>
      </w:pPr>
      <w:r w:rsidDel="00000000" w:rsidR="00000000" w:rsidRPr="00000000">
        <w:rPr>
          <w:rtl w:val="0"/>
        </w:rPr>
      </w:r>
    </w:p>
    <w:p w:rsidR="00000000" w:rsidDel="00000000" w:rsidP="00000000" w:rsidRDefault="00000000" w:rsidRPr="00000000" w14:paraId="0000002B">
      <w:pPr>
        <w:numPr>
          <w:ilvl w:val="0"/>
          <w:numId w:val="1"/>
        </w:numPr>
        <w:pBdr>
          <w:top w:color="auto" w:space="0" w:sz="0" w:val="none"/>
          <w:left w:color="auto" w:space="0" w:sz="0" w:val="none"/>
          <w:bottom w:color="auto" w:space="0" w:sz="0" w:val="none"/>
          <w:right w:color="auto" w:space="0" w:sz="0" w:val="none"/>
          <w:between w:color="auto" w:space="0" w:sz="0" w:val="none"/>
        </w:pBdr>
        <w:spacing w:line="331.2" w:lineRule="auto"/>
        <w:ind w:left="1440" w:hanging="360"/>
        <w:rPr>
          <w:highlight w:val="white"/>
          <w:u w:val="none"/>
        </w:rPr>
      </w:pPr>
      <w:r w:rsidDel="00000000" w:rsidR="00000000" w:rsidRPr="00000000">
        <w:rPr>
          <w:highlight w:val="white"/>
          <w:rtl w:val="0"/>
        </w:rPr>
        <w:t xml:space="preserve">I invite the Court to dismiss this claim in its entirety, and to award my full costs as summarily assessed (attached), such as are allowable pursuant to CPR 27.14, due to the long list of unreasonable conduct by the Claimant.  This includes but is not limited to:</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pacing w:line="331.2" w:lineRule="auto"/>
        <w:ind w:left="720" w:firstLine="0"/>
        <w:rPr>
          <w:highlight w:val="white"/>
        </w:rPr>
      </w:pPr>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pacing w:line="331.2" w:lineRule="auto"/>
        <w:ind w:left="1440" w:firstLine="0"/>
        <w:rPr>
          <w:highlight w:val="white"/>
        </w:rPr>
      </w:pPr>
      <w:r w:rsidDel="00000000" w:rsidR="00000000" w:rsidRPr="00000000">
        <w:rPr>
          <w:highlight w:val="white"/>
          <w:rtl w:val="0"/>
        </w:rPr>
        <w:t xml:space="preserve">(i) unclear signs at the car park in 2018 with no regard paid to the CRA requirements for prominence and transparency;</w:t>
      </w:r>
    </w:p>
    <w:p w:rsidR="00000000" w:rsidDel="00000000" w:rsidP="00000000" w:rsidRDefault="00000000" w:rsidRPr="00000000" w14:paraId="0000002E">
      <w:pPr>
        <w:pBdr>
          <w:top w:color="auto" w:space="0" w:sz="0" w:val="none"/>
          <w:left w:color="auto" w:space="-18" w:sz="0" w:val="none"/>
          <w:bottom w:color="auto" w:space="0" w:sz="0" w:val="none"/>
          <w:right w:color="auto" w:space="0" w:sz="0" w:val="none"/>
          <w:between w:color="auto" w:space="0" w:sz="0" w:val="none"/>
        </w:pBdr>
        <w:spacing w:line="331.2" w:lineRule="auto"/>
        <w:ind w:left="1080" w:hanging="360"/>
        <w:rPr>
          <w:highlight w:val="white"/>
        </w:rPr>
      </w:pPr>
      <w:r w:rsidDel="00000000" w:rsidR="00000000" w:rsidRPr="00000000">
        <w:rPr>
          <w:rtl w:val="0"/>
        </w:rPr>
      </w:r>
    </w:p>
    <w:p w:rsidR="00000000" w:rsidDel="00000000" w:rsidP="00000000" w:rsidRDefault="00000000" w:rsidRPr="00000000" w14:paraId="0000002F">
      <w:pPr>
        <w:pBdr>
          <w:top w:color="auto" w:space="0" w:sz="0" w:val="none"/>
          <w:left w:color="auto" w:space="-18" w:sz="0" w:val="none"/>
          <w:bottom w:color="auto" w:space="0" w:sz="0" w:val="none"/>
          <w:right w:color="auto" w:space="0" w:sz="0" w:val="none"/>
          <w:between w:color="auto" w:space="0" w:sz="0" w:val="none"/>
        </w:pBdr>
        <w:spacing w:line="331.2" w:lineRule="auto"/>
        <w:ind w:left="1800" w:hanging="360"/>
        <w:rPr>
          <w:highlight w:val="white"/>
        </w:rPr>
      </w:pPr>
      <w:r w:rsidDel="00000000" w:rsidR="00000000" w:rsidRPr="00000000">
        <w:rPr>
          <w:highlight w:val="white"/>
          <w:rtl w:val="0"/>
        </w:rPr>
        <w:t xml:space="preserve">(ii) producing misleading signage evidence with the sign altered;</w:t>
      </w:r>
    </w:p>
    <w:p w:rsidR="00000000" w:rsidDel="00000000" w:rsidP="00000000" w:rsidRDefault="00000000" w:rsidRPr="00000000" w14:paraId="00000030">
      <w:pPr>
        <w:pBdr>
          <w:top w:color="auto" w:space="0" w:sz="0" w:val="none"/>
          <w:left w:color="auto" w:space="-18" w:sz="0" w:val="none"/>
          <w:bottom w:color="auto" w:space="0" w:sz="0" w:val="none"/>
          <w:right w:color="auto" w:space="0" w:sz="0" w:val="none"/>
          <w:between w:color="auto" w:space="0" w:sz="0" w:val="none"/>
        </w:pBdr>
        <w:spacing w:line="331.2" w:lineRule="auto"/>
        <w:ind w:left="1080" w:hanging="360"/>
        <w:rPr>
          <w:highlight w:val="white"/>
        </w:rPr>
      </w:pPr>
      <w:r w:rsidDel="00000000" w:rsidR="00000000" w:rsidRPr="00000000">
        <w:rPr>
          <w:rtl w:val="0"/>
        </w:rPr>
      </w:r>
    </w:p>
    <w:p w:rsidR="00000000" w:rsidDel="00000000" w:rsidP="00000000" w:rsidRDefault="00000000" w:rsidRPr="00000000" w14:paraId="00000031">
      <w:pPr>
        <w:pBdr>
          <w:top w:color="auto" w:space="0" w:sz="0" w:val="none"/>
          <w:left w:color="auto" w:space="-18" w:sz="0" w:val="none"/>
          <w:bottom w:color="auto" w:space="0" w:sz="0" w:val="none"/>
          <w:right w:color="auto" w:space="0" w:sz="0" w:val="none"/>
          <w:between w:color="auto" w:space="0" w:sz="0" w:val="none"/>
        </w:pBdr>
        <w:spacing w:line="331.2" w:lineRule="auto"/>
        <w:ind w:left="1800" w:hanging="360"/>
        <w:rPr>
          <w:highlight w:val="white"/>
        </w:rPr>
      </w:pPr>
      <w:r w:rsidDel="00000000" w:rsidR="00000000" w:rsidRPr="00000000">
        <w:rPr>
          <w:highlight w:val="white"/>
          <w:rtl w:val="0"/>
        </w:rPr>
        <w:t xml:space="preserve">(iii) adding a false and unrecoverable £60 sum to the claim (abuse of process);</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line="331.2" w:lineRule="auto"/>
        <w:ind w:left="720" w:firstLine="0"/>
        <w:rPr>
          <w:highlight w:val="white"/>
        </w:rPr>
      </w:pPr>
      <w:r w:rsidDel="00000000" w:rsidR="00000000" w:rsidRPr="00000000">
        <w:rPr>
          <w:rtl w:val="0"/>
        </w:rPr>
      </w:r>
    </w:p>
    <w:p w:rsidR="00000000" w:rsidDel="00000000" w:rsidP="00000000" w:rsidRDefault="00000000" w:rsidRPr="00000000" w14:paraId="00000033">
      <w:pPr>
        <w:pBdr>
          <w:top w:color="auto" w:space="0" w:sz="0" w:val="none"/>
          <w:left w:color="auto" w:space="-18" w:sz="0" w:val="none"/>
          <w:bottom w:color="auto" w:space="0" w:sz="0" w:val="none"/>
          <w:right w:color="auto" w:space="0" w:sz="0" w:val="none"/>
          <w:between w:color="auto" w:space="0" w:sz="0" w:val="none"/>
        </w:pBdr>
        <w:spacing w:line="331.2" w:lineRule="auto"/>
        <w:ind w:left="1800" w:hanging="360"/>
        <w:rPr>
          <w:highlight w:val="white"/>
        </w:rPr>
      </w:pPr>
      <w:r w:rsidDel="00000000" w:rsidR="00000000" w:rsidRPr="00000000">
        <w:rPr>
          <w:highlight w:val="white"/>
          <w:rtl w:val="0"/>
        </w:rPr>
        <w:t xml:space="preserve">(iv) producing a putative 'witness' statement which has almost no probative value, being a cut &amp; paste template of errors, hearsay commentary and prolix legal argument churned out by freelance statement writers for Gladstones solicitors without any regard for the principles outlined in JD Wetherspoon plc v Harris [2013] EWRC 1088 and in the knowledge that the purported signatory will not attend (hearsay and witness statement abuse).</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line="331.2" w:lineRule="auto"/>
        <w:ind w:left="720" w:firstLine="0"/>
        <w:rPr>
          <w:highlight w:val="white"/>
        </w:rPr>
      </w:pPr>
      <w:r w:rsidDel="00000000" w:rsidR="00000000" w:rsidRPr="00000000">
        <w:rPr>
          <w:rtl w:val="0"/>
        </w:rPr>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line="331.2" w:lineRule="auto"/>
        <w:ind w:left="720" w:firstLine="0"/>
        <w:rPr>
          <w:highlight w:val="white"/>
        </w:rPr>
      </w:pPr>
      <w:r w:rsidDel="00000000" w:rsidR="00000000" w:rsidRPr="00000000">
        <w:rPr>
          <w:rtl w:val="0"/>
        </w:rPr>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line="331.2" w:lineRule="auto"/>
        <w:ind w:left="720" w:firstLine="0"/>
        <w:rPr>
          <w:highlight w:val="white"/>
        </w:rPr>
      </w:pPr>
      <w:r w:rsidDel="00000000" w:rsidR="00000000" w:rsidRPr="00000000">
        <w:rPr>
          <w:highlight w:val="white"/>
          <w:rtl w:val="0"/>
        </w:rPr>
        <w:t xml:space="preserve">Statement of Truth: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line="331.2" w:lineRule="auto"/>
        <w:ind w:left="720" w:firstLine="0"/>
        <w:rPr>
          <w:highlight w:val="white"/>
        </w:rPr>
      </w:pPr>
      <w:r w:rsidDel="00000000" w:rsidR="00000000" w:rsidRPr="00000000">
        <w:rPr>
          <w:rtl w:val="0"/>
        </w:rPr>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line="331.2" w:lineRule="auto"/>
        <w:ind w:left="720" w:firstLine="0"/>
        <w:rPr>
          <w:highlight w:val="white"/>
        </w:rPr>
      </w:pPr>
      <w:r w:rsidDel="00000000" w:rsidR="00000000" w:rsidRPr="00000000">
        <w:rPr>
          <w:highlight w:val="white"/>
          <w:rtl w:val="0"/>
        </w:rPr>
        <w:t xml:space="preserve">I believe that the facts stated in this Witness Statement are true. I understand that proceedings for contempt of court may be brought against anyone who makes, or causes to be made, a false statement in a document verified by a statement of truth without an honest belief in its truth.</w:t>
      </w:r>
    </w:p>
    <w:p w:rsidR="00000000" w:rsidDel="00000000" w:rsidP="00000000" w:rsidRDefault="00000000" w:rsidRPr="00000000" w14:paraId="00000039">
      <w:pPr>
        <w:pBdr>
          <w:top w:color="auto" w:space="0" w:sz="0" w:val="none"/>
          <w:left w:color="auto" w:space="-18" w:sz="0" w:val="none"/>
          <w:bottom w:color="auto" w:space="0" w:sz="0" w:val="none"/>
          <w:right w:color="auto" w:space="0" w:sz="0" w:val="none"/>
          <w:between w:color="auto" w:space="0" w:sz="0" w:val="none"/>
        </w:pBdr>
        <w:spacing w:line="331.2" w:lineRule="auto"/>
        <w:ind w:left="1080" w:hanging="360"/>
        <w:rPr>
          <w:highlight w:val="white"/>
        </w:rPr>
      </w:pPr>
      <w:r w:rsidDel="00000000" w:rsidR="00000000" w:rsidRPr="00000000">
        <w:rPr>
          <w:rtl w:val="0"/>
        </w:rPr>
      </w:r>
    </w:p>
    <w:p w:rsidR="00000000" w:rsidDel="00000000" w:rsidP="00000000" w:rsidRDefault="00000000" w:rsidRPr="00000000" w14:paraId="0000003A">
      <w:pPr>
        <w:pBdr>
          <w:top w:color="auto" w:space="0" w:sz="0" w:val="none"/>
          <w:left w:color="auto" w:space="-18" w:sz="0" w:val="none"/>
          <w:bottom w:color="auto" w:space="0" w:sz="0" w:val="none"/>
          <w:right w:color="auto" w:space="0" w:sz="0" w:val="none"/>
          <w:between w:color="auto" w:space="0" w:sz="0" w:val="none"/>
        </w:pBdr>
        <w:spacing w:line="331.2" w:lineRule="auto"/>
        <w:ind w:left="1080" w:hanging="360"/>
        <w:rPr>
          <w:highlight w:val="white"/>
        </w:rPr>
      </w:pPr>
      <w:r w:rsidDel="00000000" w:rsidR="00000000" w:rsidRPr="00000000">
        <w:rPr>
          <w:rtl w:val="0"/>
        </w:rPr>
      </w:r>
    </w:p>
    <w:p w:rsidR="00000000" w:rsidDel="00000000" w:rsidP="00000000" w:rsidRDefault="00000000" w:rsidRPr="00000000" w14:paraId="0000003B">
      <w:pPr>
        <w:pBdr>
          <w:top w:color="auto" w:space="0" w:sz="0" w:val="none"/>
          <w:left w:color="auto" w:space="-18" w:sz="0" w:val="none"/>
          <w:bottom w:color="auto" w:space="0" w:sz="0" w:val="none"/>
          <w:right w:color="auto" w:space="0" w:sz="0" w:val="none"/>
          <w:between w:color="auto" w:space="0" w:sz="0" w:val="none"/>
        </w:pBdr>
        <w:spacing w:line="331.2" w:lineRule="auto"/>
        <w:ind w:left="1080" w:hanging="360"/>
        <w:rPr>
          <w:highlight w:val="white"/>
        </w:rPr>
      </w:pPr>
      <w:r w:rsidDel="00000000" w:rsidR="00000000" w:rsidRPr="00000000">
        <w:rPr>
          <w:rtl w:val="0"/>
        </w:rPr>
      </w:r>
    </w:p>
    <w:p w:rsidR="00000000" w:rsidDel="00000000" w:rsidP="00000000" w:rsidRDefault="00000000" w:rsidRPr="00000000" w14:paraId="0000003C">
      <w:pPr>
        <w:pBdr>
          <w:top w:color="auto" w:space="0" w:sz="0" w:val="none"/>
          <w:left w:color="auto" w:space="-18" w:sz="0" w:val="none"/>
          <w:bottom w:color="auto" w:space="0" w:sz="0" w:val="none"/>
          <w:right w:color="auto" w:space="0" w:sz="0" w:val="none"/>
          <w:between w:color="auto" w:space="0" w:sz="0" w:val="none"/>
        </w:pBdr>
        <w:spacing w:line="331.2" w:lineRule="auto"/>
        <w:ind w:left="1080" w:hanging="360"/>
        <w:rPr>
          <w:highlight w:val="white"/>
        </w:rPr>
      </w:pPr>
      <w:r w:rsidDel="00000000" w:rsidR="00000000" w:rsidRPr="00000000">
        <w:rPr>
          <w:highlight w:val="white"/>
          <w:rtl w:val="0"/>
        </w:rPr>
        <w:t xml:space="preserve">Signature</w:t>
      </w:r>
    </w:p>
    <w:p w:rsidR="00000000" w:rsidDel="00000000" w:rsidP="00000000" w:rsidRDefault="00000000" w:rsidRPr="00000000" w14:paraId="0000003D">
      <w:pPr>
        <w:pBdr>
          <w:top w:color="auto" w:space="0" w:sz="0" w:val="none"/>
          <w:left w:color="auto" w:space="-18" w:sz="0" w:val="none"/>
          <w:bottom w:color="auto" w:space="0" w:sz="0" w:val="none"/>
          <w:right w:color="auto" w:space="0" w:sz="0" w:val="none"/>
          <w:between w:color="auto" w:space="0" w:sz="0" w:val="none"/>
        </w:pBdr>
        <w:spacing w:line="331.2" w:lineRule="auto"/>
        <w:ind w:left="1080" w:hanging="360"/>
        <w:rPr>
          <w:highlight w:val="white"/>
        </w:rPr>
      </w:pPr>
      <w:r w:rsidDel="00000000" w:rsidR="00000000" w:rsidRPr="00000000">
        <w:rPr>
          <w:rtl w:val="0"/>
        </w:rPr>
      </w:r>
    </w:p>
    <w:p w:rsidR="00000000" w:rsidDel="00000000" w:rsidP="00000000" w:rsidRDefault="00000000" w:rsidRPr="00000000" w14:paraId="0000003E">
      <w:pPr>
        <w:pBdr>
          <w:top w:color="auto" w:space="0" w:sz="0" w:val="none"/>
          <w:left w:color="auto" w:space="-18" w:sz="0" w:val="none"/>
          <w:bottom w:color="auto" w:space="0" w:sz="0" w:val="none"/>
          <w:right w:color="auto" w:space="0" w:sz="0" w:val="none"/>
          <w:between w:color="auto" w:space="0" w:sz="0" w:val="none"/>
        </w:pBdr>
        <w:spacing w:line="331.2" w:lineRule="auto"/>
        <w:ind w:left="1080" w:hanging="360"/>
        <w:rPr>
          <w:highlight w:val="white"/>
        </w:rPr>
      </w:pPr>
      <w:r w:rsidDel="00000000" w:rsidR="00000000" w:rsidRPr="00000000">
        <w:rPr>
          <w:highlight w:val="white"/>
          <w:rtl w:val="0"/>
        </w:rPr>
        <w:t xml:space="preserve">Date</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pacing w:line="331.2" w:lineRule="auto"/>
        <w:ind w:left="720" w:firstLine="0"/>
        <w:rPr>
          <w:highlight w:val="white"/>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