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712BBF" w14:textId="77777777" w:rsidR="00E8335E" w:rsidRDefault="00E8335E" w:rsidP="00E8335E">
      <w:pPr>
        <w:pStyle w:val="BodyText"/>
        <w:rPr>
          <w:rFonts w:ascii="Times New Roman"/>
          <w:sz w:val="20"/>
        </w:rPr>
      </w:pPr>
    </w:p>
    <w:p w14:paraId="5DA8033F" w14:textId="77777777" w:rsidR="00E8335E" w:rsidRDefault="00E8335E" w:rsidP="00E8335E">
      <w:pPr>
        <w:pStyle w:val="BodyText"/>
        <w:spacing w:before="3"/>
        <w:rPr>
          <w:rFonts w:ascii="Times New Roman"/>
          <w:sz w:val="17"/>
        </w:rPr>
      </w:pPr>
    </w:p>
    <w:p w14:paraId="11915EF5" w14:textId="77777777" w:rsidR="00E8335E" w:rsidRDefault="00E8335E" w:rsidP="00E8335E">
      <w:pPr>
        <w:spacing w:before="44"/>
        <w:ind w:left="3411" w:right="3408"/>
        <w:jc w:val="center"/>
        <w:rPr>
          <w:b/>
          <w:sz w:val="28"/>
        </w:rPr>
      </w:pPr>
      <w:r>
        <w:rPr>
          <w:b/>
          <w:sz w:val="28"/>
        </w:rPr>
        <w:t>Index</w:t>
      </w:r>
    </w:p>
    <w:p w14:paraId="10F49308" w14:textId="75A51D72" w:rsidR="00E8335E" w:rsidRDefault="00E8335E" w:rsidP="00E8335E">
      <w:pPr>
        <w:pStyle w:val="BodyText"/>
        <w:rPr>
          <w:b/>
          <w:sz w:val="20"/>
        </w:rPr>
      </w:pPr>
    </w:p>
    <w:p w14:paraId="5A67940D" w14:textId="52A79774" w:rsidR="00164722" w:rsidRDefault="00164722" w:rsidP="00E8335E">
      <w:pPr>
        <w:pStyle w:val="BodyText"/>
        <w:rPr>
          <w:b/>
          <w:sz w:val="20"/>
        </w:rPr>
      </w:pPr>
    </w:p>
    <w:p w14:paraId="026A2A17" w14:textId="3DDD6BE1" w:rsidR="00164722" w:rsidRDefault="00164722" w:rsidP="00E8335E">
      <w:pPr>
        <w:pStyle w:val="BodyText"/>
        <w:rPr>
          <w:b/>
          <w:sz w:val="20"/>
        </w:rPr>
      </w:pPr>
    </w:p>
    <w:p w14:paraId="0A4EE0D1" w14:textId="6920EDF9" w:rsidR="00164722" w:rsidRPr="00BC11A0" w:rsidRDefault="00BC11A0" w:rsidP="00BC11A0">
      <w:pPr>
        <w:pStyle w:val="BodyText"/>
        <w:rPr>
          <w:b/>
          <w:sz w:val="20"/>
        </w:rPr>
      </w:pPr>
      <w:r>
        <w:rPr>
          <w:b/>
          <w:sz w:val="20"/>
        </w:rPr>
        <w:t>Ignore this page for now, this will get more detailed, go straight to page 2</w:t>
      </w:r>
    </w:p>
    <w:p w14:paraId="11B94BF6" w14:textId="77777777" w:rsidR="00E8335E" w:rsidRDefault="00E8335E" w:rsidP="00E8335E">
      <w:pPr>
        <w:pStyle w:val="BodyText"/>
        <w:rPr>
          <w:b/>
          <w:sz w:val="20"/>
        </w:rPr>
      </w:pPr>
    </w:p>
    <w:p w14:paraId="0CA3DCBC" w14:textId="77777777" w:rsidR="00E8335E" w:rsidRDefault="00E8335E" w:rsidP="00E8335E">
      <w:pPr>
        <w:pStyle w:val="BodyText"/>
        <w:rPr>
          <w:b/>
          <w:sz w:val="20"/>
        </w:rPr>
      </w:pPr>
    </w:p>
    <w:p w14:paraId="0557CCE7" w14:textId="77777777" w:rsidR="00E8335E" w:rsidRDefault="00E8335E" w:rsidP="00E8335E">
      <w:pPr>
        <w:pStyle w:val="BodyText"/>
        <w:spacing w:before="8"/>
        <w:rPr>
          <w:b/>
          <w:sz w:val="25"/>
        </w:rPr>
      </w:pPr>
    </w:p>
    <w:p w14:paraId="145C5AAA" w14:textId="77777777" w:rsidR="00E8335E" w:rsidRPr="000D3146" w:rsidRDefault="00E8335E" w:rsidP="000D3146">
      <w:pPr>
        <w:pStyle w:val="ListParagraph"/>
        <w:widowControl/>
        <w:numPr>
          <w:ilvl w:val="0"/>
          <w:numId w:val="3"/>
        </w:numPr>
        <w:autoSpaceDE/>
        <w:autoSpaceDN/>
        <w:rPr>
          <w:sz w:val="24"/>
        </w:rPr>
        <w:sectPr w:rsidR="00E8335E" w:rsidRPr="000D3146">
          <w:headerReference w:type="even" r:id="rId8"/>
          <w:headerReference w:type="default" r:id="rId9"/>
          <w:footerReference w:type="even" r:id="rId10"/>
          <w:footerReference w:type="default" r:id="rId11"/>
          <w:headerReference w:type="first" r:id="rId12"/>
          <w:footerReference w:type="first" r:id="rId13"/>
          <w:pgSz w:w="11910" w:h="16840"/>
          <w:pgMar w:top="960" w:right="460" w:bottom="1200" w:left="460" w:header="749" w:footer="1002" w:gutter="0"/>
          <w:pgNumType w:start="1"/>
          <w:cols w:space="720"/>
        </w:sectPr>
      </w:pPr>
    </w:p>
    <w:p w14:paraId="360EEDB2" w14:textId="77777777" w:rsidR="00E8335E" w:rsidRDefault="00E8335E" w:rsidP="00E8335E">
      <w:pPr>
        <w:pStyle w:val="BodyText"/>
        <w:rPr>
          <w:b/>
          <w:sz w:val="20"/>
        </w:rPr>
      </w:pPr>
    </w:p>
    <w:p w14:paraId="75C19982" w14:textId="77777777" w:rsidR="00E8335E" w:rsidRDefault="00E8335E" w:rsidP="00E8335E">
      <w:pPr>
        <w:pStyle w:val="BodyText"/>
        <w:spacing w:before="6"/>
        <w:rPr>
          <w:b/>
          <w:sz w:val="18"/>
        </w:rPr>
      </w:pPr>
    </w:p>
    <w:p w14:paraId="1F2AF3E2" w14:textId="77777777" w:rsidR="00E8335E" w:rsidRDefault="00E8335E" w:rsidP="00E8335E">
      <w:pPr>
        <w:pStyle w:val="Heading1"/>
        <w:ind w:left="0"/>
      </w:pPr>
      <w:r>
        <w:t>In the County Court at SOUTHEND</w:t>
      </w:r>
    </w:p>
    <w:p w14:paraId="4DDAEF0E" w14:textId="77777777" w:rsidR="00E8335E" w:rsidRDefault="00E8335E" w:rsidP="00E8335E">
      <w:pPr>
        <w:pStyle w:val="BodyText"/>
        <w:rPr>
          <w:b/>
          <w:sz w:val="27"/>
        </w:rPr>
      </w:pPr>
    </w:p>
    <w:p w14:paraId="6311D0A3" w14:textId="108EC13A" w:rsidR="00E8335E" w:rsidRDefault="00E8335E" w:rsidP="00E8335E">
      <w:pPr>
        <w:spacing w:before="52"/>
        <w:ind w:right="973"/>
        <w:rPr>
          <w:b/>
          <w:sz w:val="24"/>
        </w:rPr>
      </w:pPr>
      <w:r>
        <w:rPr>
          <w:b/>
          <w:sz w:val="24"/>
        </w:rPr>
        <w:t xml:space="preserve">Claim Number: </w:t>
      </w:r>
      <w:proofErr w:type="spellStart"/>
      <w:r w:rsidR="00CF66FA">
        <w:rPr>
          <w:b/>
          <w:sz w:val="24"/>
        </w:rPr>
        <w:t>xxxxxxxxxx</w:t>
      </w:r>
      <w:proofErr w:type="spellEnd"/>
    </w:p>
    <w:p w14:paraId="3D7DF447" w14:textId="77777777" w:rsidR="00E8335E" w:rsidRDefault="00E8335E" w:rsidP="00E8335E">
      <w:pPr>
        <w:pStyle w:val="BodyText"/>
        <w:rPr>
          <w:b/>
          <w:sz w:val="24"/>
        </w:rPr>
      </w:pPr>
    </w:p>
    <w:p w14:paraId="24111353" w14:textId="77777777" w:rsidR="00E8335E" w:rsidRDefault="00E8335E" w:rsidP="00E8335E">
      <w:pPr>
        <w:pStyle w:val="BodyText"/>
        <w:rPr>
          <w:b/>
          <w:sz w:val="24"/>
        </w:rPr>
      </w:pPr>
    </w:p>
    <w:p w14:paraId="3E1F0E3A" w14:textId="77777777" w:rsidR="00E8335E" w:rsidRDefault="00E8335E" w:rsidP="00E8335E">
      <w:pPr>
        <w:pStyle w:val="BodyText"/>
        <w:rPr>
          <w:b/>
          <w:sz w:val="24"/>
        </w:rPr>
      </w:pPr>
    </w:p>
    <w:p w14:paraId="48718DF4" w14:textId="77777777" w:rsidR="00E8335E" w:rsidRDefault="00E8335E" w:rsidP="00E8335E">
      <w:pPr>
        <w:tabs>
          <w:tab w:val="left" w:pos="8971"/>
        </w:tabs>
        <w:spacing w:before="148" w:line="547" w:lineRule="auto"/>
        <w:ind w:right="974"/>
        <w:jc w:val="both"/>
        <w:rPr>
          <w:b/>
          <w:spacing w:val="-3"/>
          <w:sz w:val="24"/>
        </w:rPr>
      </w:pPr>
      <w:r>
        <w:rPr>
          <w:b/>
          <w:sz w:val="24"/>
        </w:rPr>
        <w:t xml:space="preserve">UKCPM </w:t>
      </w:r>
      <w:r>
        <w:rPr>
          <w:b/>
          <w:spacing w:val="-3"/>
          <w:sz w:val="24"/>
        </w:rPr>
        <w:t>(Claimant)</w:t>
      </w:r>
    </w:p>
    <w:p w14:paraId="475F9D09" w14:textId="77777777" w:rsidR="00E8335E" w:rsidRDefault="00E8335E" w:rsidP="00E8335E">
      <w:pPr>
        <w:tabs>
          <w:tab w:val="left" w:pos="8971"/>
        </w:tabs>
        <w:spacing w:before="148" w:line="547" w:lineRule="auto"/>
        <w:ind w:right="974"/>
        <w:rPr>
          <w:b/>
          <w:sz w:val="24"/>
        </w:rPr>
      </w:pPr>
      <w:r>
        <w:rPr>
          <w:b/>
          <w:sz w:val="24"/>
        </w:rPr>
        <w:t>V</w:t>
      </w:r>
    </w:p>
    <w:p w14:paraId="3A18427A" w14:textId="247B084B" w:rsidR="00E8335E" w:rsidRDefault="00CF66FA" w:rsidP="00E8335E">
      <w:pPr>
        <w:tabs>
          <w:tab w:val="left" w:pos="4035"/>
        </w:tabs>
        <w:spacing w:before="5"/>
        <w:ind w:right="974"/>
        <w:rPr>
          <w:b/>
          <w:sz w:val="24"/>
        </w:rPr>
      </w:pPr>
      <w:proofErr w:type="spellStart"/>
      <w:r>
        <w:rPr>
          <w:b/>
          <w:sz w:val="24"/>
        </w:rPr>
        <w:t>xxxxxxxxxxxxxx</w:t>
      </w:r>
      <w:proofErr w:type="spellEnd"/>
      <w:r w:rsidR="00E8335E">
        <w:rPr>
          <w:b/>
          <w:sz w:val="24"/>
        </w:rPr>
        <w:t xml:space="preserve"> </w:t>
      </w:r>
      <w:r w:rsidR="00E8335E">
        <w:rPr>
          <w:b/>
          <w:spacing w:val="-1"/>
          <w:sz w:val="24"/>
        </w:rPr>
        <w:t>(Defendant)</w:t>
      </w:r>
    </w:p>
    <w:p w14:paraId="4FBB24DA" w14:textId="77777777" w:rsidR="00E8335E" w:rsidRDefault="00E8335E" w:rsidP="00E8335E">
      <w:pPr>
        <w:pStyle w:val="BodyText"/>
        <w:rPr>
          <w:b/>
          <w:sz w:val="20"/>
        </w:rPr>
      </w:pPr>
    </w:p>
    <w:p w14:paraId="59819390" w14:textId="77777777" w:rsidR="00E8335E" w:rsidRDefault="00E8335E" w:rsidP="00E8335E">
      <w:pPr>
        <w:pStyle w:val="BodyText"/>
        <w:rPr>
          <w:b/>
          <w:sz w:val="20"/>
        </w:rPr>
      </w:pPr>
    </w:p>
    <w:p w14:paraId="5B06E961" w14:textId="77777777" w:rsidR="00E8335E" w:rsidRDefault="00E8335E" w:rsidP="00E8335E">
      <w:pPr>
        <w:pStyle w:val="BodyText"/>
        <w:spacing w:before="5"/>
        <w:rPr>
          <w:b/>
          <w:sz w:val="17"/>
        </w:rPr>
      </w:pPr>
      <w:r>
        <w:rPr>
          <w:noProof/>
        </w:rPr>
        <mc:AlternateContent>
          <mc:Choice Requires="wps">
            <w:drawing>
              <wp:anchor distT="0" distB="0" distL="0" distR="0" simplePos="0" relativeHeight="251659264" behindDoc="1" locked="0" layoutInCell="1" allowOverlap="1" wp14:anchorId="050C5B2A" wp14:editId="46121321">
                <wp:simplePos x="0" y="0"/>
                <wp:positionH relativeFrom="page">
                  <wp:posOffset>896620</wp:posOffset>
                </wp:positionH>
                <wp:positionV relativeFrom="paragraph">
                  <wp:posOffset>163195</wp:posOffset>
                </wp:positionV>
                <wp:extent cx="5769610" cy="1270"/>
                <wp:effectExtent l="0" t="0" r="0" b="0"/>
                <wp:wrapTopAndBottom/>
                <wp:docPr id="52" name="Freeform: 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9610" cy="1270"/>
                        </a:xfrm>
                        <a:custGeom>
                          <a:avLst/>
                          <a:gdLst>
                            <a:gd name="T0" fmla="+- 0 1412 1412"/>
                            <a:gd name="T1" fmla="*/ T0 w 9086"/>
                            <a:gd name="T2" fmla="+- 0 10497 1412"/>
                            <a:gd name="T3" fmla="*/ T2 w 9086"/>
                          </a:gdLst>
                          <a:ahLst/>
                          <a:cxnLst>
                            <a:cxn ang="0">
                              <a:pos x="T1" y="0"/>
                            </a:cxn>
                            <a:cxn ang="0">
                              <a:pos x="T3" y="0"/>
                            </a:cxn>
                          </a:cxnLst>
                          <a:rect l="0" t="0" r="r" b="b"/>
                          <a:pathLst>
                            <a:path w="9086">
                              <a:moveTo>
                                <a:pt x="0" y="0"/>
                              </a:moveTo>
                              <a:lnTo>
                                <a:pt x="9085"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C6AA66" id="Freeform: Shape 52" o:spid="_x0000_s1026" style="position:absolute;margin-left:70.6pt;margin-top:12.85pt;width:454.3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8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" path="m,l9085,e" filled="f" strokeweight=".48pt">
                <v:path arrowok="t" o:connecttype="custom" o:connectlocs="0,0;5768975,0" o:connectangles="0,0"/>
                <w10:wrap type="topAndBottom" anchorx="page"/>
              </v:shape>
            </w:pict>
          </mc:Fallback>
        </mc:AlternateContent>
      </w:r>
    </w:p>
    <w:p w14:paraId="333427EC" w14:textId="77777777" w:rsidR="00E8335E" w:rsidRDefault="00E8335E" w:rsidP="00E8335E">
      <w:pPr>
        <w:spacing w:line="263" w:lineRule="exact"/>
        <w:ind w:left="3409" w:right="3409"/>
        <w:jc w:val="center"/>
        <w:rPr>
          <w:b/>
          <w:sz w:val="24"/>
        </w:rPr>
      </w:pPr>
      <w:r>
        <w:rPr>
          <w:b/>
          <w:sz w:val="24"/>
        </w:rPr>
        <w:t>WITNESS STATEMENT OF DEFENDANT</w:t>
      </w:r>
    </w:p>
    <w:p w14:paraId="72EC61F9" w14:textId="77777777" w:rsidR="00E8335E" w:rsidRDefault="00E8335E" w:rsidP="00E8335E">
      <w:pPr>
        <w:spacing w:before="43"/>
        <w:ind w:left="3411" w:right="3409"/>
        <w:jc w:val="center"/>
        <w:rPr>
          <w:b/>
          <w:sz w:val="24"/>
        </w:rPr>
      </w:pPr>
      <w:r>
        <w:rPr>
          <w:noProof/>
        </w:rPr>
        <mc:AlternateContent>
          <mc:Choice Requires="wps">
            <w:drawing>
              <wp:anchor distT="0" distB="0" distL="0" distR="0" simplePos="0" relativeHeight="251660288" behindDoc="1" locked="0" layoutInCell="1" allowOverlap="1" wp14:anchorId="3E74ADA8" wp14:editId="1D36E99D">
                <wp:simplePos x="0" y="0"/>
                <wp:positionH relativeFrom="page">
                  <wp:posOffset>896620</wp:posOffset>
                </wp:positionH>
                <wp:positionV relativeFrom="paragraph">
                  <wp:posOffset>257810</wp:posOffset>
                </wp:positionV>
                <wp:extent cx="5769610" cy="1270"/>
                <wp:effectExtent l="0" t="0" r="0" b="0"/>
                <wp:wrapTopAndBottom/>
                <wp:docPr id="51" name="Freeform: 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9610" cy="1270"/>
                        </a:xfrm>
                        <a:custGeom>
                          <a:avLst/>
                          <a:gdLst>
                            <a:gd name="T0" fmla="+- 0 1412 1412"/>
                            <a:gd name="T1" fmla="*/ T0 w 9086"/>
                            <a:gd name="T2" fmla="+- 0 10497 1412"/>
                            <a:gd name="T3" fmla="*/ T2 w 9086"/>
                          </a:gdLst>
                          <a:ahLst/>
                          <a:cxnLst>
                            <a:cxn ang="0">
                              <a:pos x="T1" y="0"/>
                            </a:cxn>
                            <a:cxn ang="0">
                              <a:pos x="T3" y="0"/>
                            </a:cxn>
                          </a:cxnLst>
                          <a:rect l="0" t="0" r="r" b="b"/>
                          <a:pathLst>
                            <a:path w="9086">
                              <a:moveTo>
                                <a:pt x="0" y="0"/>
                              </a:moveTo>
                              <a:lnTo>
                                <a:pt x="9085"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59A5F9" id="Freeform: Shape 51" o:spid="_x0000_s1026" style="position:absolute;margin-left:70.6pt;margin-top:20.3pt;width:454.3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8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" path="m,l9085,e" filled="f" strokeweight=".48pt">
                <v:path arrowok="t" o:connecttype="custom" o:connectlocs="0,0;5768975,0" o:connectangles="0,0"/>
                <w10:wrap type="topAndBottom" anchorx="page"/>
              </v:shape>
            </w:pict>
          </mc:Fallback>
        </mc:AlternateContent>
      </w:r>
      <w:r>
        <w:rPr>
          <w:b/>
          <w:sz w:val="24"/>
        </w:rPr>
        <w:t>FOR COURT HEARING ON 23/03/2021</w:t>
      </w:r>
    </w:p>
    <w:p w14:paraId="7177741B" w14:textId="77777777" w:rsidR="00E8335E" w:rsidRDefault="00E8335E" w:rsidP="00E8335E">
      <w:pPr>
        <w:pStyle w:val="BodyText"/>
        <w:rPr>
          <w:b/>
          <w:sz w:val="20"/>
        </w:rPr>
      </w:pPr>
    </w:p>
    <w:p w14:paraId="0EAE2A52" w14:textId="77777777" w:rsidR="00E8335E" w:rsidRDefault="00E8335E" w:rsidP="00E8335E">
      <w:pPr>
        <w:pStyle w:val="BodyText"/>
        <w:rPr>
          <w:b/>
          <w:sz w:val="20"/>
        </w:rPr>
      </w:pPr>
    </w:p>
    <w:p w14:paraId="4A9A3EAA" w14:textId="77777777" w:rsidR="00E8335E" w:rsidRDefault="00E8335E" w:rsidP="00E8335E">
      <w:pPr>
        <w:pStyle w:val="BodyText"/>
        <w:rPr>
          <w:b/>
          <w:sz w:val="20"/>
        </w:rPr>
      </w:pPr>
    </w:p>
    <w:p w14:paraId="1A62E66A" w14:textId="77777777" w:rsidR="00E8335E" w:rsidRDefault="00E8335E" w:rsidP="00E8335E">
      <w:pPr>
        <w:pStyle w:val="BodyText"/>
        <w:spacing w:before="6"/>
        <w:rPr>
          <w:b/>
          <w:sz w:val="15"/>
        </w:rPr>
      </w:pPr>
    </w:p>
    <w:p w14:paraId="5F2E1E23" w14:textId="24D26325" w:rsidR="00E8335E" w:rsidRDefault="00DF7793" w:rsidP="00836600">
      <w:pPr>
        <w:pStyle w:val="ListParagraph"/>
        <w:numPr>
          <w:ilvl w:val="0"/>
          <w:numId w:val="3"/>
        </w:numPr>
        <w:tabs>
          <w:tab w:val="left" w:pos="1408"/>
        </w:tabs>
        <w:spacing w:before="56" w:line="276" w:lineRule="auto"/>
        <w:ind w:right="1028"/>
        <w:rPr>
          <w:rFonts w:ascii="Calibri"/>
        </w:rPr>
      </w:pPr>
      <w:r>
        <w:rPr>
          <w:rFonts w:ascii="Calibri"/>
        </w:rPr>
        <w:t>‘</w:t>
      </w:r>
      <w:r w:rsidR="006A5894">
        <w:rPr>
          <w:rFonts w:ascii="Calibri"/>
        </w:rPr>
        <w:t>My Name here and Ti</w:t>
      </w:r>
      <w:r>
        <w:rPr>
          <w:rFonts w:ascii="Calibri"/>
        </w:rPr>
        <w:t>t</w:t>
      </w:r>
      <w:r w:rsidR="006A5894">
        <w:rPr>
          <w:rFonts w:ascii="Calibri"/>
        </w:rPr>
        <w:t>les</w:t>
      </w:r>
      <w:r>
        <w:rPr>
          <w:rFonts w:ascii="Calibri"/>
        </w:rPr>
        <w:t>’</w:t>
      </w:r>
      <w:r w:rsidR="00E8335E">
        <w:rPr>
          <w:rFonts w:ascii="Calibri"/>
        </w:rPr>
        <w:t>, and I am the defendant against whom this claim is made. The facts below are true to the best of my belief and my account has been prepared based upon my own</w:t>
      </w:r>
      <w:r w:rsidR="00E8335E">
        <w:rPr>
          <w:rFonts w:ascii="Calibri"/>
          <w:spacing w:val="-2"/>
        </w:rPr>
        <w:t xml:space="preserve"> </w:t>
      </w:r>
      <w:r w:rsidR="00E8335E">
        <w:rPr>
          <w:rFonts w:ascii="Calibri"/>
        </w:rPr>
        <w:t>knowledge.</w:t>
      </w:r>
    </w:p>
    <w:p w14:paraId="0747164F" w14:textId="3472968D" w:rsidR="00E8335E" w:rsidRDefault="00E8335E" w:rsidP="00E8335E">
      <w:pPr>
        <w:pStyle w:val="BodyText"/>
        <w:spacing w:before="5"/>
        <w:rPr>
          <w:sz w:val="25"/>
        </w:rPr>
      </w:pPr>
    </w:p>
    <w:p w14:paraId="4D2F9643" w14:textId="2A084213" w:rsidR="00E8335E" w:rsidRDefault="00E8335E" w:rsidP="00836600">
      <w:pPr>
        <w:pStyle w:val="ListParagraph"/>
        <w:numPr>
          <w:ilvl w:val="0"/>
          <w:numId w:val="3"/>
        </w:numPr>
        <w:tabs>
          <w:tab w:val="left" w:pos="1408"/>
        </w:tabs>
        <w:spacing w:line="276" w:lineRule="auto"/>
        <w:ind w:right="1124"/>
        <w:rPr>
          <w:rFonts w:ascii="Calibri"/>
        </w:rPr>
      </w:pPr>
      <w:r>
        <w:rPr>
          <w:rFonts w:ascii="Calibri"/>
        </w:rPr>
        <w:t>In my statement I shall refer to exhibits within the evidence supplied with this statement, referring to page and reference numbers where appropriate. My defence is repeated, and I will say as</w:t>
      </w:r>
      <w:r>
        <w:rPr>
          <w:rFonts w:ascii="Calibri"/>
          <w:spacing w:val="-3"/>
        </w:rPr>
        <w:t xml:space="preserve"> </w:t>
      </w:r>
      <w:r>
        <w:rPr>
          <w:rFonts w:ascii="Calibri"/>
        </w:rPr>
        <w:t>follows:</w:t>
      </w:r>
    </w:p>
    <w:p w14:paraId="35A45FB5" w14:textId="6FC42176" w:rsidR="00E8335E" w:rsidRDefault="00E8335E" w:rsidP="00E8335E">
      <w:pPr>
        <w:pStyle w:val="ListParagraph"/>
        <w:rPr>
          <w:rFonts w:ascii="Calibri"/>
        </w:rPr>
      </w:pPr>
    </w:p>
    <w:p w14:paraId="7DF874A6" w14:textId="1671242A" w:rsidR="00E8335E" w:rsidRDefault="00E8335E" w:rsidP="00836600">
      <w:pPr>
        <w:pStyle w:val="ListParagraph"/>
        <w:numPr>
          <w:ilvl w:val="0"/>
          <w:numId w:val="3"/>
        </w:numPr>
        <w:tabs>
          <w:tab w:val="left" w:pos="1408"/>
        </w:tabs>
        <w:spacing w:line="276" w:lineRule="auto"/>
        <w:ind w:right="1124"/>
        <w:rPr>
          <w:rFonts w:ascii="Calibri"/>
        </w:rPr>
      </w:pPr>
      <w:r>
        <w:rPr>
          <w:rFonts w:ascii="Calibri"/>
        </w:rPr>
        <w:t>On 22</w:t>
      </w:r>
      <w:r>
        <w:rPr>
          <w:rFonts w:ascii="Calibri"/>
          <w:vertAlign w:val="superscript"/>
        </w:rPr>
        <w:t>nd</w:t>
      </w:r>
      <w:r>
        <w:rPr>
          <w:rFonts w:ascii="Calibri"/>
        </w:rPr>
        <w:t xml:space="preserve"> March 2019 I was asked by </w:t>
      </w:r>
      <w:r w:rsidR="00DF7793">
        <w:rPr>
          <w:rFonts w:ascii="Calibri"/>
        </w:rPr>
        <w:t xml:space="preserve">XXXXXX </w:t>
      </w:r>
      <w:proofErr w:type="spellStart"/>
      <w:r w:rsidR="00DF7793">
        <w:rPr>
          <w:rFonts w:ascii="Calibri"/>
        </w:rPr>
        <w:t>XXXXXX</w:t>
      </w:r>
      <w:proofErr w:type="spellEnd"/>
      <w:r>
        <w:rPr>
          <w:rFonts w:ascii="Calibri"/>
        </w:rPr>
        <w:t xml:space="preserve"> (Mace Construction Ltd) who was instructed by Knight Dragon (Landowners) to attend site on 23</w:t>
      </w:r>
      <w:r>
        <w:rPr>
          <w:rFonts w:ascii="Calibri"/>
          <w:vertAlign w:val="superscript"/>
        </w:rPr>
        <w:t>rd</w:t>
      </w:r>
      <w:r>
        <w:rPr>
          <w:rFonts w:ascii="Calibri"/>
        </w:rPr>
        <w:t xml:space="preserve"> March 2019 to deal with an urgent Electrical changeover that needed to take place </w:t>
      </w:r>
      <w:r w:rsidR="006F6FDE">
        <w:rPr>
          <w:rFonts w:ascii="Calibri"/>
        </w:rPr>
        <w:t>to</w:t>
      </w:r>
      <w:r>
        <w:rPr>
          <w:rFonts w:ascii="Calibri"/>
        </w:rPr>
        <w:t xml:space="preserve"> keep the construction up and running for over 400 employees the following Monday.</w:t>
      </w:r>
    </w:p>
    <w:p w14:paraId="3F9FF299" w14:textId="61E22584" w:rsidR="00E8335E" w:rsidRDefault="00E8335E" w:rsidP="00E8335E">
      <w:pPr>
        <w:pStyle w:val="ListParagraph"/>
        <w:rPr>
          <w:rFonts w:ascii="Calibri"/>
        </w:rPr>
      </w:pPr>
    </w:p>
    <w:p w14:paraId="762ABFCE" w14:textId="2230263B" w:rsidR="00E8335E" w:rsidRDefault="00E8335E" w:rsidP="00836600">
      <w:pPr>
        <w:pStyle w:val="ListParagraph"/>
        <w:numPr>
          <w:ilvl w:val="0"/>
          <w:numId w:val="3"/>
        </w:numPr>
        <w:tabs>
          <w:tab w:val="left" w:pos="1408"/>
        </w:tabs>
        <w:spacing w:line="276" w:lineRule="auto"/>
        <w:ind w:right="1124"/>
        <w:rPr>
          <w:rFonts w:ascii="Calibri"/>
        </w:rPr>
      </w:pPr>
      <w:r>
        <w:rPr>
          <w:rFonts w:ascii="Calibri"/>
        </w:rPr>
        <w:t xml:space="preserve">Please look at </w:t>
      </w:r>
      <w:r w:rsidR="000A176E" w:rsidRPr="00017B61">
        <w:rPr>
          <w:rFonts w:ascii="Calibri"/>
          <w:b/>
          <w:bCs/>
        </w:rPr>
        <w:t>Exhi</w:t>
      </w:r>
      <w:r w:rsidR="00017B61" w:rsidRPr="00017B61">
        <w:rPr>
          <w:rFonts w:ascii="Calibri"/>
          <w:b/>
          <w:bCs/>
        </w:rPr>
        <w:t xml:space="preserve">bit </w:t>
      </w:r>
      <w:r w:rsidR="006F6FDE" w:rsidRPr="00017B61">
        <w:rPr>
          <w:rFonts w:ascii="Calibri"/>
          <w:b/>
          <w:bCs/>
        </w:rPr>
        <w:t>A</w:t>
      </w:r>
      <w:r w:rsidR="006F6FDE">
        <w:rPr>
          <w:rFonts w:ascii="Calibri"/>
        </w:rPr>
        <w:t xml:space="preserve"> which</w:t>
      </w:r>
      <w:r>
        <w:rPr>
          <w:rFonts w:ascii="Calibri"/>
        </w:rPr>
        <w:t xml:space="preserve"> clearly shows the extent of the site, covering the construction and site offices.</w:t>
      </w:r>
    </w:p>
    <w:p w14:paraId="610D3513" w14:textId="1A124566" w:rsidR="00E8335E" w:rsidRDefault="00E8335E" w:rsidP="00E8335E">
      <w:pPr>
        <w:pStyle w:val="ListParagraph"/>
        <w:rPr>
          <w:rFonts w:ascii="Calibri"/>
        </w:rPr>
      </w:pPr>
    </w:p>
    <w:p w14:paraId="52BA01D4" w14:textId="6465E598" w:rsidR="00E8335E" w:rsidRDefault="00E8335E" w:rsidP="00E8335E">
      <w:pPr>
        <w:pStyle w:val="ListParagraph"/>
        <w:tabs>
          <w:tab w:val="left" w:pos="1408"/>
        </w:tabs>
        <w:spacing w:line="276" w:lineRule="auto"/>
        <w:ind w:right="1124" w:firstLine="0"/>
        <w:jc w:val="center"/>
        <w:rPr>
          <w:rFonts w:ascii="Calibri"/>
        </w:rPr>
      </w:pPr>
    </w:p>
    <w:p w14:paraId="56BD994F" w14:textId="51CB8A49" w:rsidR="0012343A" w:rsidRDefault="00E8335E" w:rsidP="00836600">
      <w:pPr>
        <w:pStyle w:val="ListParagraph"/>
        <w:numPr>
          <w:ilvl w:val="0"/>
          <w:numId w:val="3"/>
        </w:numPr>
        <w:rPr>
          <w:rFonts w:ascii="Calibri"/>
        </w:rPr>
      </w:pPr>
      <w:r>
        <w:rPr>
          <w:rFonts w:ascii="Calibri"/>
        </w:rPr>
        <w:t>I have drawn a red box showing the extent of the site. Also take note of positions A, B and C. Which relate to the following</w:t>
      </w:r>
    </w:p>
    <w:p w14:paraId="1001ECB6" w14:textId="34E2BEF6" w:rsidR="00AF3BBD" w:rsidRDefault="00AF3BBD" w:rsidP="00E8335E">
      <w:pPr>
        <w:pStyle w:val="ListParagraph"/>
        <w:rPr>
          <w:rFonts w:ascii="Calibri"/>
        </w:rPr>
      </w:pPr>
    </w:p>
    <w:p w14:paraId="79C4A9B9" w14:textId="77777777" w:rsidR="00AF3BBD" w:rsidRDefault="00AF3BBD" w:rsidP="00E8335E">
      <w:pPr>
        <w:pStyle w:val="ListParagraph"/>
        <w:rPr>
          <w:rFonts w:ascii="Calibri"/>
        </w:rPr>
      </w:pPr>
    </w:p>
    <w:p w14:paraId="1D30EDAA" w14:textId="0884E1B9" w:rsidR="00AF3BBD" w:rsidRDefault="00E8335E" w:rsidP="00836600">
      <w:pPr>
        <w:pStyle w:val="ListParagraph"/>
        <w:numPr>
          <w:ilvl w:val="0"/>
          <w:numId w:val="3"/>
        </w:numPr>
        <w:rPr>
          <w:rFonts w:ascii="Calibri"/>
        </w:rPr>
      </w:pPr>
      <w:r>
        <w:rPr>
          <w:rFonts w:ascii="Calibri"/>
        </w:rPr>
        <w:lastRenderedPageBreak/>
        <w:t xml:space="preserve">A: place where car was parked. </w:t>
      </w:r>
    </w:p>
    <w:p w14:paraId="6FDAADC2" w14:textId="6CD42975" w:rsidR="00AF3BBD" w:rsidRDefault="00E8335E" w:rsidP="00836600">
      <w:pPr>
        <w:pStyle w:val="ListParagraph"/>
        <w:numPr>
          <w:ilvl w:val="0"/>
          <w:numId w:val="3"/>
        </w:numPr>
        <w:rPr>
          <w:rFonts w:ascii="Calibri"/>
        </w:rPr>
      </w:pPr>
      <w:r>
        <w:rPr>
          <w:rFonts w:ascii="Calibri"/>
        </w:rPr>
        <w:t xml:space="preserve">B: Manned Security gate controlled by Mace Construction. </w:t>
      </w:r>
    </w:p>
    <w:p w14:paraId="44E4F962" w14:textId="224750A3" w:rsidR="00E8335E" w:rsidRDefault="00E8335E" w:rsidP="00836600">
      <w:pPr>
        <w:pStyle w:val="ListParagraph"/>
        <w:numPr>
          <w:ilvl w:val="0"/>
          <w:numId w:val="3"/>
        </w:numPr>
        <w:rPr>
          <w:rFonts w:ascii="Calibri"/>
        </w:rPr>
      </w:pPr>
      <w:r>
        <w:rPr>
          <w:rFonts w:ascii="Calibri"/>
        </w:rPr>
        <w:t>C: Construction Offices.</w:t>
      </w:r>
    </w:p>
    <w:p w14:paraId="1F3FF680" w14:textId="0447AFED" w:rsidR="00E8335E" w:rsidRDefault="00E8335E" w:rsidP="00E8335E">
      <w:pPr>
        <w:pStyle w:val="Heading1"/>
        <w:ind w:left="0"/>
      </w:pPr>
    </w:p>
    <w:p w14:paraId="73E0546E" w14:textId="4D88FE81" w:rsidR="00E8335E" w:rsidRDefault="00E8335E" w:rsidP="00E8335E">
      <w:pPr>
        <w:pStyle w:val="BodyText"/>
        <w:spacing w:before="8"/>
        <w:rPr>
          <w:b/>
          <w:sz w:val="28"/>
        </w:rPr>
      </w:pPr>
    </w:p>
    <w:p w14:paraId="60324314" w14:textId="755EBC49" w:rsidR="00E8335E" w:rsidRPr="00475605" w:rsidRDefault="00E8335E" w:rsidP="00836600">
      <w:pPr>
        <w:pStyle w:val="ListParagraph"/>
        <w:numPr>
          <w:ilvl w:val="0"/>
          <w:numId w:val="3"/>
        </w:numPr>
        <w:tabs>
          <w:tab w:val="left" w:pos="1408"/>
        </w:tabs>
        <w:spacing w:line="276" w:lineRule="auto"/>
        <w:ind w:right="1252"/>
        <w:jc w:val="both"/>
        <w:rPr>
          <w:rFonts w:ascii="Calibri"/>
        </w:rPr>
      </w:pPr>
      <w:r>
        <w:rPr>
          <w:rFonts w:ascii="Calibri"/>
        </w:rPr>
        <w:t xml:space="preserve">Now please look at </w:t>
      </w:r>
      <w:r w:rsidRPr="00017B61">
        <w:rPr>
          <w:rFonts w:ascii="Calibri"/>
          <w:b/>
          <w:bCs/>
        </w:rPr>
        <w:t>Exhibit B</w:t>
      </w:r>
      <w:r w:rsidR="00500D19">
        <w:rPr>
          <w:rFonts w:ascii="Calibri"/>
          <w:b/>
          <w:bCs/>
        </w:rPr>
        <w:t xml:space="preserve">, </w:t>
      </w:r>
      <w:r>
        <w:t xml:space="preserve">Point A shows the manned security gate. Point B shows the permanently locked gate. Point C shows where car was parked. Point D shows the crossing for construction workers. To the left of </w:t>
      </w:r>
      <w:proofErr w:type="gramStart"/>
      <w:r>
        <w:t>Point</w:t>
      </w:r>
      <w:proofErr w:type="gramEnd"/>
      <w:r>
        <w:t xml:space="preserve"> A shows Edmund Halley Way, where the parking eye should have been mapped to monitor.</w:t>
      </w:r>
    </w:p>
    <w:p w14:paraId="03445187" w14:textId="46D82D03" w:rsidR="00E8335E" w:rsidRDefault="00E8335E" w:rsidP="00E8335E">
      <w:pPr>
        <w:tabs>
          <w:tab w:val="left" w:pos="1408"/>
        </w:tabs>
        <w:spacing w:line="276" w:lineRule="auto"/>
        <w:ind w:right="1252"/>
      </w:pPr>
    </w:p>
    <w:p w14:paraId="6EF853CC" w14:textId="0AC31502" w:rsidR="00E8335E" w:rsidRDefault="00E8335E" w:rsidP="00E8335E">
      <w:pPr>
        <w:pStyle w:val="ListParagraph"/>
        <w:tabs>
          <w:tab w:val="left" w:pos="1408"/>
        </w:tabs>
        <w:spacing w:line="276" w:lineRule="auto"/>
        <w:ind w:right="1252" w:firstLine="0"/>
        <w:jc w:val="both"/>
        <w:rPr>
          <w:rFonts w:ascii="Calibri"/>
        </w:rPr>
      </w:pPr>
    </w:p>
    <w:p w14:paraId="47B3BC50" w14:textId="403687E5" w:rsidR="00E8335E" w:rsidRDefault="00E8335E" w:rsidP="00836600">
      <w:pPr>
        <w:pStyle w:val="ListParagraph"/>
        <w:numPr>
          <w:ilvl w:val="0"/>
          <w:numId w:val="3"/>
        </w:numPr>
        <w:spacing w:line="276" w:lineRule="auto"/>
        <w:ind w:right="1252"/>
        <w:jc w:val="both"/>
        <w:rPr>
          <w:rFonts w:ascii="Calibri"/>
        </w:rPr>
      </w:pPr>
      <w:r>
        <w:rPr>
          <w:rFonts w:ascii="Calibri"/>
        </w:rPr>
        <w:t xml:space="preserve">I would like to point out that the incident occurred inside a cordoned off building site, and that the parking eye had not been programmed properly to ignore this section of road, which the </w:t>
      </w:r>
      <w:proofErr w:type="gramStart"/>
      <w:r>
        <w:rPr>
          <w:rFonts w:ascii="Calibri"/>
        </w:rPr>
        <w:t>general public</w:t>
      </w:r>
      <w:proofErr w:type="gramEnd"/>
      <w:r>
        <w:rPr>
          <w:rFonts w:ascii="Calibri"/>
        </w:rPr>
        <w:t xml:space="preserve"> would have no access to. Normal foot patrol has the ability not to issue a parking charge notice, as they would realise this.</w:t>
      </w:r>
    </w:p>
    <w:p w14:paraId="554C1590" w14:textId="437F86A8" w:rsidR="00E8335E" w:rsidRDefault="00E8335E" w:rsidP="00E8335E">
      <w:pPr>
        <w:pStyle w:val="BodyText"/>
        <w:spacing w:before="5"/>
        <w:rPr>
          <w:sz w:val="25"/>
        </w:rPr>
      </w:pPr>
    </w:p>
    <w:p w14:paraId="62E4209C" w14:textId="37482778" w:rsidR="00E8335E" w:rsidRDefault="00E8335E" w:rsidP="00836600">
      <w:pPr>
        <w:pStyle w:val="ListParagraph"/>
        <w:numPr>
          <w:ilvl w:val="0"/>
          <w:numId w:val="3"/>
        </w:numPr>
        <w:tabs>
          <w:tab w:val="left" w:pos="1408"/>
        </w:tabs>
        <w:spacing w:line="276" w:lineRule="auto"/>
        <w:ind w:right="1015"/>
        <w:rPr>
          <w:rFonts w:ascii="Calibri" w:hAnsi="Calibri"/>
        </w:rPr>
      </w:pPr>
      <w:r>
        <w:rPr>
          <w:rFonts w:ascii="Calibri" w:hAnsi="Calibri"/>
        </w:rPr>
        <w:t xml:space="preserve">At the point of entry, through the manned security gate there are no signs visible </w:t>
      </w:r>
    </w:p>
    <w:p w14:paraId="64C3DEB4" w14:textId="77777777" w:rsidR="00E8335E" w:rsidRDefault="00E8335E" w:rsidP="00E8335E">
      <w:pPr>
        <w:pStyle w:val="ListParagraph"/>
        <w:rPr>
          <w:rFonts w:ascii="Calibri" w:hAnsi="Calibri"/>
        </w:rPr>
      </w:pPr>
    </w:p>
    <w:p w14:paraId="49439E05" w14:textId="6BE5311B" w:rsidR="00E8335E" w:rsidRDefault="00E8335E" w:rsidP="00836600">
      <w:pPr>
        <w:pStyle w:val="ListParagraph"/>
        <w:numPr>
          <w:ilvl w:val="0"/>
          <w:numId w:val="3"/>
        </w:numPr>
        <w:tabs>
          <w:tab w:val="left" w:pos="1408"/>
        </w:tabs>
        <w:spacing w:line="276" w:lineRule="auto"/>
        <w:ind w:right="1092"/>
        <w:rPr>
          <w:rFonts w:ascii="Calibri" w:hAnsi="Calibri"/>
        </w:rPr>
      </w:pPr>
      <w:r>
        <w:rPr>
          <w:rFonts w:ascii="Calibri" w:hAnsi="Calibri"/>
        </w:rPr>
        <w:t xml:space="preserve">However, I received a PCN and now am asked to pay an inflated charge of £160. </w:t>
      </w:r>
    </w:p>
    <w:p w14:paraId="7204C6F9" w14:textId="77777777" w:rsidR="00074E56" w:rsidRPr="00074E56" w:rsidRDefault="00074E56" w:rsidP="00074E56">
      <w:pPr>
        <w:pStyle w:val="ListParagraph"/>
        <w:rPr>
          <w:rFonts w:ascii="Calibri" w:hAnsi="Calibri"/>
        </w:rPr>
      </w:pPr>
    </w:p>
    <w:p w14:paraId="19B20B06" w14:textId="04DBA4DF" w:rsidR="00CD1D19" w:rsidRDefault="00CD1D19" w:rsidP="00CD1D19">
      <w:pPr>
        <w:pStyle w:val="ListParagraph"/>
        <w:numPr>
          <w:ilvl w:val="0"/>
          <w:numId w:val="3"/>
        </w:numPr>
        <w:tabs>
          <w:tab w:val="left" w:pos="1408"/>
        </w:tabs>
        <w:spacing w:line="276" w:lineRule="auto"/>
        <w:ind w:right="1092"/>
        <w:rPr>
          <w:rFonts w:ascii="Calibri" w:hAnsi="Calibri"/>
        </w:rPr>
      </w:pPr>
      <w:r>
        <w:rPr>
          <w:rFonts w:ascii="Calibri" w:hAnsi="Calibri"/>
        </w:rPr>
        <w:t>Claimant Witness Statement</w:t>
      </w:r>
      <w:r w:rsidR="00612199">
        <w:rPr>
          <w:rFonts w:ascii="Calibri" w:hAnsi="Calibri"/>
        </w:rPr>
        <w:t xml:space="preserve"> ‘page 13’</w:t>
      </w:r>
      <w:r>
        <w:rPr>
          <w:rFonts w:ascii="Calibri" w:hAnsi="Calibri"/>
        </w:rPr>
        <w:t xml:space="preserve">. Please look at </w:t>
      </w:r>
      <w:r w:rsidRPr="00AF39CD">
        <w:rPr>
          <w:rFonts w:ascii="Calibri" w:hAnsi="Calibri"/>
          <w:b/>
          <w:bCs/>
        </w:rPr>
        <w:t>Exhi</w:t>
      </w:r>
      <w:r w:rsidR="00AF2B4B" w:rsidRPr="00AF39CD">
        <w:rPr>
          <w:rFonts w:ascii="Calibri" w:hAnsi="Calibri"/>
          <w:b/>
          <w:bCs/>
        </w:rPr>
        <w:t xml:space="preserve">bit </w:t>
      </w:r>
      <w:r w:rsidR="00B345B5">
        <w:rPr>
          <w:rFonts w:ascii="Calibri" w:hAnsi="Calibri"/>
          <w:b/>
          <w:bCs/>
        </w:rPr>
        <w:t>C</w:t>
      </w:r>
      <w:r w:rsidR="00AF2B4B">
        <w:rPr>
          <w:rFonts w:ascii="Calibri" w:hAnsi="Calibri"/>
        </w:rPr>
        <w:t>, which shows a date of 01/03/2019</w:t>
      </w:r>
      <w:r w:rsidR="00D8743E">
        <w:rPr>
          <w:rFonts w:ascii="Calibri" w:hAnsi="Calibri"/>
        </w:rPr>
        <w:t>, but said incident happened on 23/3/2019</w:t>
      </w:r>
      <w:r w:rsidR="000F70B7">
        <w:rPr>
          <w:rFonts w:ascii="Calibri" w:hAnsi="Calibri"/>
        </w:rPr>
        <w:t xml:space="preserve">. </w:t>
      </w:r>
    </w:p>
    <w:p w14:paraId="6F588458" w14:textId="77777777" w:rsidR="004345FA" w:rsidRPr="004345FA" w:rsidRDefault="004345FA" w:rsidP="004345FA">
      <w:pPr>
        <w:pStyle w:val="ListParagraph"/>
        <w:rPr>
          <w:rFonts w:ascii="Calibri" w:hAnsi="Calibri"/>
        </w:rPr>
      </w:pPr>
    </w:p>
    <w:p w14:paraId="6C14A706" w14:textId="1D4A645B" w:rsidR="004345FA" w:rsidRDefault="004345FA" w:rsidP="00CD1D19">
      <w:pPr>
        <w:pStyle w:val="ListParagraph"/>
        <w:numPr>
          <w:ilvl w:val="0"/>
          <w:numId w:val="3"/>
        </w:numPr>
        <w:tabs>
          <w:tab w:val="left" w:pos="1408"/>
        </w:tabs>
        <w:spacing w:line="276" w:lineRule="auto"/>
        <w:ind w:right="1092"/>
        <w:rPr>
          <w:rFonts w:ascii="Calibri" w:hAnsi="Calibri"/>
        </w:rPr>
      </w:pPr>
      <w:r>
        <w:rPr>
          <w:rFonts w:ascii="Calibri" w:hAnsi="Calibri"/>
        </w:rPr>
        <w:t xml:space="preserve">Claimant Witness Statement ‘page 11’. </w:t>
      </w:r>
      <w:r w:rsidR="00C344A6">
        <w:rPr>
          <w:rFonts w:ascii="Calibri" w:hAnsi="Calibri"/>
        </w:rPr>
        <w:t xml:space="preserve">Please look at </w:t>
      </w:r>
      <w:r w:rsidR="00C344A6" w:rsidRPr="00C344A6">
        <w:rPr>
          <w:rFonts w:ascii="Calibri" w:hAnsi="Calibri"/>
          <w:b/>
          <w:bCs/>
        </w:rPr>
        <w:t xml:space="preserve">Exhibit </w:t>
      </w:r>
      <w:r w:rsidR="00B345B5">
        <w:rPr>
          <w:rFonts w:ascii="Calibri" w:hAnsi="Calibri"/>
          <w:b/>
          <w:bCs/>
        </w:rPr>
        <w:t>D</w:t>
      </w:r>
      <w:r w:rsidR="00C344A6">
        <w:rPr>
          <w:rFonts w:ascii="Calibri" w:hAnsi="Calibri"/>
        </w:rPr>
        <w:t xml:space="preserve">, </w:t>
      </w:r>
      <w:r>
        <w:rPr>
          <w:rFonts w:ascii="Calibri" w:hAnsi="Calibri"/>
        </w:rPr>
        <w:t xml:space="preserve">Refers </w:t>
      </w:r>
      <w:r w:rsidR="008B3D08">
        <w:rPr>
          <w:rFonts w:ascii="Calibri" w:hAnsi="Calibri"/>
        </w:rPr>
        <w:t>to a pay and display machine. Which quite clearly has nothing to do with this case</w:t>
      </w:r>
      <w:r w:rsidR="00C344A6">
        <w:rPr>
          <w:rFonts w:ascii="Calibri" w:hAnsi="Calibri"/>
        </w:rPr>
        <w:t>.</w:t>
      </w:r>
    </w:p>
    <w:p w14:paraId="645CB3CF" w14:textId="77777777" w:rsidR="001E4FAA" w:rsidRPr="001E4FAA" w:rsidRDefault="001E4FAA" w:rsidP="001E4FAA">
      <w:pPr>
        <w:pStyle w:val="ListParagraph"/>
        <w:rPr>
          <w:rFonts w:ascii="Calibri" w:hAnsi="Calibri"/>
        </w:rPr>
      </w:pPr>
    </w:p>
    <w:p w14:paraId="6F18A211" w14:textId="6BDD0B7A" w:rsidR="001E4FAA" w:rsidRPr="001E4FAA" w:rsidRDefault="00B345B5" w:rsidP="001E4FAA">
      <w:pPr>
        <w:pStyle w:val="ListParagraph"/>
        <w:numPr>
          <w:ilvl w:val="0"/>
          <w:numId w:val="3"/>
        </w:numPr>
        <w:tabs>
          <w:tab w:val="left" w:pos="1408"/>
        </w:tabs>
        <w:spacing w:line="276" w:lineRule="auto"/>
        <w:ind w:right="1092"/>
        <w:rPr>
          <w:rFonts w:ascii="Calibri" w:hAnsi="Calibri"/>
        </w:rPr>
      </w:pPr>
      <w:r>
        <w:rPr>
          <w:rFonts w:ascii="Calibri" w:hAnsi="Calibri"/>
        </w:rPr>
        <w:t xml:space="preserve">Claimant Witness Statement ‘page 15’. Please look at </w:t>
      </w:r>
      <w:r w:rsidRPr="001E4FAA">
        <w:rPr>
          <w:rFonts w:ascii="Calibri" w:hAnsi="Calibri"/>
          <w:b/>
          <w:bCs/>
        </w:rPr>
        <w:t>Exhibit E</w:t>
      </w:r>
      <w:r>
        <w:rPr>
          <w:rFonts w:ascii="Calibri" w:hAnsi="Calibri"/>
        </w:rPr>
        <w:t>,</w:t>
      </w:r>
      <w:r w:rsidR="001E4FAA">
        <w:rPr>
          <w:rFonts w:ascii="Calibri" w:hAnsi="Calibri"/>
        </w:rPr>
        <w:t xml:space="preserve"> </w:t>
      </w:r>
      <w:r w:rsidR="001E4FAA">
        <w:t xml:space="preserve">I now refer to the Claimants witness statement. Page 15 Shows Schedule 4, where parking enforcement officers to complete a patrol of the agreed the areas. But the Claimant is relying on a mis programmed Parking eye. If this foot patrol had been to the site, they would </w:t>
      </w:r>
      <w:proofErr w:type="gramStart"/>
      <w:r w:rsidR="001E4FAA">
        <w:t>of</w:t>
      </w:r>
      <w:proofErr w:type="gramEnd"/>
      <w:r w:rsidR="001E4FAA">
        <w:t xml:space="preserve"> </w:t>
      </w:r>
      <w:r w:rsidR="007601E0">
        <w:t>ac</w:t>
      </w:r>
      <w:r w:rsidR="001E4FAA">
        <w:t>knowledge</w:t>
      </w:r>
      <w:r w:rsidR="00231662">
        <w:t>d</w:t>
      </w:r>
      <w:r w:rsidR="001E4FAA">
        <w:t xml:space="preserve"> that a Parking Charge Notice would not apply. I suggest to the court that the claimant has not looked at this case in any detail at all.</w:t>
      </w:r>
    </w:p>
    <w:p w14:paraId="4FB5194B" w14:textId="1F0E5C31" w:rsidR="00B345B5" w:rsidRPr="00CD1D19" w:rsidRDefault="00B345B5" w:rsidP="001E4FAA">
      <w:pPr>
        <w:pStyle w:val="ListParagraph"/>
        <w:tabs>
          <w:tab w:val="left" w:pos="1408"/>
        </w:tabs>
        <w:spacing w:line="276" w:lineRule="auto"/>
        <w:ind w:left="720" w:right="1092" w:firstLine="0"/>
        <w:rPr>
          <w:rFonts w:ascii="Calibri" w:hAnsi="Calibri"/>
        </w:rPr>
      </w:pPr>
    </w:p>
    <w:p w14:paraId="69BE7ADE" w14:textId="77777777" w:rsidR="00F8081C" w:rsidRPr="00F8081C" w:rsidRDefault="00F8081C" w:rsidP="00F8081C">
      <w:pPr>
        <w:pStyle w:val="ListParagraph"/>
        <w:rPr>
          <w:rFonts w:ascii="Calibri" w:hAnsi="Calibri"/>
        </w:rPr>
      </w:pPr>
    </w:p>
    <w:p w14:paraId="47616383" w14:textId="77777777" w:rsidR="00E8335E" w:rsidRDefault="00E8335E" w:rsidP="00836600">
      <w:pPr>
        <w:pStyle w:val="ListParagraph"/>
        <w:numPr>
          <w:ilvl w:val="0"/>
          <w:numId w:val="3"/>
        </w:numPr>
        <w:tabs>
          <w:tab w:val="left" w:pos="1408"/>
        </w:tabs>
        <w:spacing w:before="1" w:line="276" w:lineRule="auto"/>
        <w:ind w:right="1144"/>
        <w:rPr>
          <w:rFonts w:ascii="Calibri" w:hAnsi="Calibri"/>
        </w:rPr>
      </w:pPr>
      <w:r>
        <w:rPr>
          <w:rFonts w:ascii="Calibri" w:hAnsi="Calibri"/>
          <w:color w:val="333333"/>
        </w:rPr>
        <w:t>A key factor in the leading authority from the Supreme Court, was that ParkingEye were found to have operated in line with the relevant parking operator’s code of practice and that there were signs that were clear and obvious and 'bound to be seen'. I have included a copy of</w:t>
      </w:r>
      <w:r>
        <w:rPr>
          <w:rFonts w:ascii="Calibri" w:hAnsi="Calibri"/>
          <w:color w:val="333333"/>
          <w:spacing w:val="-21"/>
        </w:rPr>
        <w:t xml:space="preserve"> </w:t>
      </w:r>
      <w:r>
        <w:rPr>
          <w:rFonts w:ascii="Calibri" w:hAnsi="Calibri"/>
          <w:color w:val="333333"/>
        </w:rPr>
        <w:t>this</w:t>
      </w:r>
    </w:p>
    <w:p w14:paraId="7E33854F" w14:textId="77777777" w:rsidR="00E8335E" w:rsidRDefault="00E8335E" w:rsidP="00E8335E">
      <w:pPr>
        <w:tabs>
          <w:tab w:val="left" w:pos="1408"/>
        </w:tabs>
        <w:spacing w:before="1" w:line="276" w:lineRule="auto"/>
        <w:ind w:right="1144"/>
      </w:pPr>
    </w:p>
    <w:p w14:paraId="198E170C" w14:textId="021DCD17" w:rsidR="00E8335E" w:rsidRPr="0093756F" w:rsidRDefault="00E8335E" w:rsidP="00836600">
      <w:pPr>
        <w:pStyle w:val="ListParagraph"/>
        <w:numPr>
          <w:ilvl w:val="0"/>
          <w:numId w:val="3"/>
        </w:numPr>
        <w:tabs>
          <w:tab w:val="left" w:pos="1408"/>
        </w:tabs>
        <w:spacing w:line="276" w:lineRule="auto"/>
        <w:ind w:right="1042"/>
        <w:rPr>
          <w:rFonts w:ascii="Calibri" w:hAnsi="Calibri"/>
        </w:rPr>
      </w:pPr>
      <w:r>
        <w:rPr>
          <w:rFonts w:ascii="Calibri" w:hAnsi="Calibri"/>
          <w:color w:val="333333"/>
        </w:rPr>
        <w:t xml:space="preserve">This situation can be fully distinguished from </w:t>
      </w:r>
      <w:r>
        <w:rPr>
          <w:rFonts w:ascii="Calibri" w:hAnsi="Calibri"/>
          <w:i/>
          <w:color w:val="333333"/>
        </w:rPr>
        <w:t xml:space="preserve">ParkingEye Ltd v Beavis </w:t>
      </w:r>
      <w:r>
        <w:rPr>
          <w:rFonts w:ascii="Calibri" w:hAnsi="Calibri"/>
          <w:color w:val="333333"/>
        </w:rPr>
        <w:t xml:space="preserve">[2015] UKSC67, where the Supreme Court found that whilst the £85 was not (and was not pleaded as) a sum in the nature of damages or loss, ParkingEye had a 'legitimate interest' in enforcing the charge where motorists overstay, in order to </w:t>
      </w:r>
      <w:r>
        <w:rPr>
          <w:rFonts w:ascii="Calibri" w:hAnsi="Calibri"/>
          <w:color w:val="333333"/>
        </w:rPr>
        <w:lastRenderedPageBreak/>
        <w:t>deter motorists from occupying spaces beyond the time paid for and thus ensure further income for the landowner, by allowing other motorists to occupy the space. The Court concluded that the £85.00 charge was not out of proportion to the legitimate interest (in that case, based upon the facts and clear signs) and therefore the clause was not a penalty clause.</w:t>
      </w:r>
    </w:p>
    <w:p w14:paraId="7247230D" w14:textId="77777777" w:rsidR="0093756F" w:rsidRPr="0093756F" w:rsidRDefault="0093756F" w:rsidP="0093756F">
      <w:pPr>
        <w:pStyle w:val="ListParagraph"/>
        <w:rPr>
          <w:rFonts w:ascii="Calibri" w:hAnsi="Calibri"/>
        </w:rPr>
      </w:pPr>
    </w:p>
    <w:p w14:paraId="4C519ED5" w14:textId="063FB24A" w:rsidR="0093756F" w:rsidRDefault="0093756F" w:rsidP="0093756F">
      <w:pPr>
        <w:tabs>
          <w:tab w:val="left" w:pos="1408"/>
        </w:tabs>
        <w:spacing w:line="276" w:lineRule="auto"/>
        <w:ind w:right="1042"/>
      </w:pPr>
    </w:p>
    <w:p w14:paraId="54A77D0D" w14:textId="02428669" w:rsidR="0093756F" w:rsidRDefault="0093756F" w:rsidP="0093756F">
      <w:pPr>
        <w:tabs>
          <w:tab w:val="left" w:pos="1408"/>
        </w:tabs>
        <w:spacing w:line="276" w:lineRule="auto"/>
        <w:ind w:right="1042"/>
      </w:pPr>
    </w:p>
    <w:p w14:paraId="4D2B2E07" w14:textId="0C91B21E" w:rsidR="001A5884" w:rsidRDefault="001A5884" w:rsidP="0093756F">
      <w:pPr>
        <w:tabs>
          <w:tab w:val="left" w:pos="1408"/>
        </w:tabs>
        <w:spacing w:line="276" w:lineRule="auto"/>
        <w:ind w:right="1042"/>
      </w:pPr>
    </w:p>
    <w:p w14:paraId="4C6ADEC5" w14:textId="3AF11C69" w:rsidR="001A5884" w:rsidRDefault="001A5884" w:rsidP="0093756F">
      <w:pPr>
        <w:tabs>
          <w:tab w:val="left" w:pos="1408"/>
        </w:tabs>
        <w:spacing w:line="276" w:lineRule="auto"/>
        <w:ind w:right="1042"/>
      </w:pPr>
    </w:p>
    <w:p w14:paraId="4EDBB0C0" w14:textId="5D188FF6" w:rsidR="001A5884" w:rsidRDefault="001A5884" w:rsidP="0093756F">
      <w:pPr>
        <w:tabs>
          <w:tab w:val="left" w:pos="1408"/>
        </w:tabs>
        <w:spacing w:line="276" w:lineRule="auto"/>
        <w:ind w:right="1042"/>
      </w:pPr>
    </w:p>
    <w:p w14:paraId="1257C4E2" w14:textId="77777777" w:rsidR="001A5884" w:rsidRDefault="001A5884" w:rsidP="0093756F">
      <w:pPr>
        <w:tabs>
          <w:tab w:val="left" w:pos="1408"/>
        </w:tabs>
        <w:spacing w:line="276" w:lineRule="auto"/>
        <w:ind w:right="1042"/>
      </w:pPr>
    </w:p>
    <w:p w14:paraId="02C2D06E" w14:textId="06C2B8EC" w:rsidR="0093756F" w:rsidRDefault="0093756F" w:rsidP="0093756F">
      <w:pPr>
        <w:tabs>
          <w:tab w:val="left" w:pos="1408"/>
        </w:tabs>
        <w:spacing w:line="276" w:lineRule="auto"/>
        <w:ind w:right="1042"/>
      </w:pPr>
    </w:p>
    <w:p w14:paraId="773CE89C" w14:textId="77777777" w:rsidR="0093756F" w:rsidRPr="0093756F" w:rsidRDefault="0093756F" w:rsidP="0093756F">
      <w:pPr>
        <w:tabs>
          <w:tab w:val="left" w:pos="1408"/>
        </w:tabs>
        <w:spacing w:line="276" w:lineRule="auto"/>
        <w:ind w:right="1042"/>
      </w:pPr>
    </w:p>
    <w:p w14:paraId="7B16D7D6" w14:textId="77777777" w:rsidR="00E8335E" w:rsidRDefault="00E8335E" w:rsidP="00E8335E">
      <w:pPr>
        <w:pStyle w:val="ListParagraph"/>
        <w:rPr>
          <w:rFonts w:ascii="Calibri" w:hAnsi="Calibri"/>
        </w:rPr>
      </w:pPr>
    </w:p>
    <w:p w14:paraId="36631A97" w14:textId="02F7CE0C" w:rsidR="00E8335E" w:rsidRDefault="00E8335E" w:rsidP="00836600">
      <w:pPr>
        <w:pStyle w:val="Heading1"/>
        <w:numPr>
          <w:ilvl w:val="0"/>
          <w:numId w:val="3"/>
        </w:numPr>
        <w:spacing w:before="1"/>
      </w:pPr>
      <w:r>
        <w:t>The Beavis case is against this claim</w:t>
      </w:r>
    </w:p>
    <w:p w14:paraId="77A84798" w14:textId="77777777" w:rsidR="007F261B" w:rsidRDefault="007F261B" w:rsidP="007F261B">
      <w:pPr>
        <w:pStyle w:val="Heading1"/>
        <w:spacing w:before="1"/>
      </w:pPr>
    </w:p>
    <w:p w14:paraId="12FFD16C" w14:textId="77777777" w:rsidR="00E8335E" w:rsidRDefault="00E8335E" w:rsidP="00836600">
      <w:pPr>
        <w:pStyle w:val="ListParagraph"/>
        <w:numPr>
          <w:ilvl w:val="0"/>
          <w:numId w:val="3"/>
        </w:numPr>
        <w:tabs>
          <w:tab w:val="left" w:pos="1408"/>
        </w:tabs>
        <w:spacing w:line="276" w:lineRule="auto"/>
        <w:ind w:right="1149"/>
        <w:rPr>
          <w:rFonts w:ascii="Calibri"/>
        </w:rPr>
      </w:pPr>
      <w:r>
        <w:rPr>
          <w:rFonts w:ascii="Calibri"/>
        </w:rPr>
        <w:t>However, there is no such legitimate interest where the requisite fee has been paid in full for the time stayed. As such, I take the point that the parking charge in my case is a penalty, and unenforceable. This is just the sort of 'concealed pitfall or trap' and unsupported penalty that the Supreme Court had in mind when deciding what constitutes a (rare and unique case) 'justified' parking charge as opposed to an unconscionable</w:t>
      </w:r>
      <w:r>
        <w:rPr>
          <w:rFonts w:ascii="Calibri"/>
          <w:spacing w:val="-6"/>
        </w:rPr>
        <w:t xml:space="preserve"> </w:t>
      </w:r>
      <w:r>
        <w:rPr>
          <w:rFonts w:ascii="Calibri"/>
        </w:rPr>
        <w:t>one.</w:t>
      </w:r>
    </w:p>
    <w:p w14:paraId="7B11E968" w14:textId="77777777" w:rsidR="00E8335E" w:rsidRDefault="00E8335E" w:rsidP="00836600">
      <w:pPr>
        <w:pStyle w:val="ListParagraph"/>
        <w:numPr>
          <w:ilvl w:val="0"/>
          <w:numId w:val="3"/>
        </w:numPr>
        <w:tabs>
          <w:tab w:val="left" w:pos="1408"/>
        </w:tabs>
        <w:ind w:right="1034"/>
        <w:rPr>
          <w:rFonts w:ascii="Calibri" w:hAnsi="Calibri"/>
          <w:color w:val="333333"/>
        </w:rPr>
      </w:pPr>
      <w:r>
        <w:rPr>
          <w:rFonts w:ascii="Calibri" w:hAnsi="Calibri"/>
          <w:color w:val="333333"/>
        </w:rPr>
        <w:t xml:space="preserve">The Claimant has added a sum disingenuously described as 'damages/admin' or 'debt collection costs'. The added £60 constitutes double recovery and the court is invited to find the quantum claimed is false and an abuse of process </w:t>
      </w:r>
      <w:r>
        <w:rPr>
          <w:rFonts w:ascii="Calibri" w:hAnsi="Calibri"/>
          <w:b/>
          <w:color w:val="333333"/>
        </w:rPr>
        <w:t xml:space="preserve">- </w:t>
      </w:r>
      <w:r>
        <w:rPr>
          <w:rFonts w:ascii="Calibri" w:hAnsi="Calibri"/>
          <w:color w:val="333333"/>
        </w:rPr>
        <w:t xml:space="preserve">see exhibit xx-12 </w:t>
      </w:r>
      <w:r>
        <w:rPr>
          <w:rFonts w:ascii="Calibri" w:hAnsi="Calibri"/>
          <w:b/>
          <w:color w:val="333333"/>
        </w:rPr>
        <w:t xml:space="preserve">- </w:t>
      </w:r>
      <w:r>
        <w:rPr>
          <w:rFonts w:ascii="Calibri" w:hAnsi="Calibri"/>
          <w:color w:val="333333"/>
        </w:rPr>
        <w:t xml:space="preserve">transcript of the Approved judgment in </w:t>
      </w:r>
      <w:r>
        <w:rPr>
          <w:rFonts w:ascii="Calibri" w:hAnsi="Calibri"/>
          <w:i/>
          <w:color w:val="333333"/>
        </w:rPr>
        <w:t xml:space="preserve">Britannia Parking v Crosby </w:t>
      </w:r>
      <w:r>
        <w:rPr>
          <w:rFonts w:ascii="Calibri" w:hAnsi="Calibri"/>
          <w:color w:val="333333"/>
        </w:rPr>
        <w:t>(Southampton Court 11.11.19). That case was not appealed and the decision</w:t>
      </w:r>
      <w:r>
        <w:rPr>
          <w:rFonts w:ascii="Calibri" w:hAnsi="Calibri"/>
          <w:color w:val="333333"/>
          <w:spacing w:val="-7"/>
        </w:rPr>
        <w:t xml:space="preserve"> </w:t>
      </w:r>
      <w:r>
        <w:rPr>
          <w:rFonts w:ascii="Calibri" w:hAnsi="Calibri"/>
          <w:color w:val="333333"/>
        </w:rPr>
        <w:t>stands.</w:t>
      </w:r>
    </w:p>
    <w:p w14:paraId="79343E6D" w14:textId="77777777" w:rsidR="00E8335E" w:rsidRDefault="00E8335E" w:rsidP="00E8335E">
      <w:pPr>
        <w:pStyle w:val="ListParagraph"/>
        <w:tabs>
          <w:tab w:val="left" w:pos="1408"/>
        </w:tabs>
        <w:spacing w:line="276" w:lineRule="auto"/>
        <w:ind w:right="1149" w:firstLine="0"/>
        <w:rPr>
          <w:rFonts w:ascii="Calibri"/>
        </w:rPr>
      </w:pPr>
    </w:p>
    <w:p w14:paraId="644BE158" w14:textId="77777777" w:rsidR="00E8335E" w:rsidRDefault="00E8335E" w:rsidP="00E8335E">
      <w:pPr>
        <w:pStyle w:val="BodyText"/>
        <w:spacing w:before="11"/>
        <w:rPr>
          <w:sz w:val="21"/>
        </w:rPr>
      </w:pPr>
    </w:p>
    <w:p w14:paraId="4E10CFA6" w14:textId="77777777" w:rsidR="00E8335E" w:rsidRDefault="00E8335E" w:rsidP="00836600">
      <w:pPr>
        <w:pStyle w:val="ListParagraph"/>
        <w:numPr>
          <w:ilvl w:val="0"/>
          <w:numId w:val="3"/>
        </w:numPr>
        <w:tabs>
          <w:tab w:val="left" w:pos="1408"/>
        </w:tabs>
        <w:ind w:right="1113"/>
        <w:rPr>
          <w:rFonts w:ascii="Calibri"/>
          <w:color w:val="333333"/>
        </w:rPr>
      </w:pPr>
      <w:r>
        <w:rPr>
          <w:rFonts w:ascii="Calibri"/>
          <w:color w:val="333333"/>
        </w:rPr>
        <w:t xml:space="preserve">Whilst it is known that another case that was struck out on the same basis was appealed to Salisbury Court (the </w:t>
      </w:r>
      <w:proofErr w:type="spellStart"/>
      <w:r>
        <w:rPr>
          <w:rFonts w:ascii="Calibri"/>
          <w:i/>
          <w:color w:val="333333"/>
        </w:rPr>
        <w:t>Semark-Jullien</w:t>
      </w:r>
      <w:proofErr w:type="spellEnd"/>
      <w:r>
        <w:rPr>
          <w:rFonts w:ascii="Calibri"/>
          <w:i/>
          <w:color w:val="333333"/>
        </w:rPr>
        <w:t xml:space="preserve"> </w:t>
      </w:r>
      <w:r>
        <w:rPr>
          <w:rFonts w:ascii="Calibri"/>
          <w:color w:val="333333"/>
        </w:rPr>
        <w:t xml:space="preserve">case), the parking industry did not get any finding one way or the other about the illegality of adding the same costs twice. The Appeal Judge merely pointed out that he felt that insufficient information was known about the </w:t>
      </w:r>
      <w:proofErr w:type="spellStart"/>
      <w:r>
        <w:rPr>
          <w:rFonts w:ascii="Calibri"/>
          <w:i/>
          <w:color w:val="333333"/>
        </w:rPr>
        <w:t>Semark-Jullien</w:t>
      </w:r>
      <w:proofErr w:type="spellEnd"/>
      <w:r>
        <w:rPr>
          <w:rFonts w:ascii="Calibri"/>
          <w:i/>
          <w:color w:val="333333"/>
        </w:rPr>
        <w:t xml:space="preserve"> </w:t>
      </w:r>
      <w:r>
        <w:rPr>
          <w:rFonts w:ascii="Calibri"/>
          <w:color w:val="333333"/>
        </w:rPr>
        <w:t>facts of the case (the Defendant had not engaged with the process and no evidence was in play, unlike in the Crosby case) and so the Judge listed it for a hearing and felt that case (alone) should not have been summarily struck out due to a lack of any facts and</w:t>
      </w:r>
      <w:r>
        <w:rPr>
          <w:rFonts w:ascii="Calibri"/>
          <w:color w:val="333333"/>
          <w:spacing w:val="-25"/>
        </w:rPr>
        <w:t xml:space="preserve"> </w:t>
      </w:r>
      <w:r>
        <w:rPr>
          <w:rFonts w:ascii="Calibri"/>
          <w:color w:val="333333"/>
        </w:rPr>
        <w:t>evidence.</w:t>
      </w:r>
    </w:p>
    <w:p w14:paraId="75FAF59C" w14:textId="77777777" w:rsidR="00E8335E" w:rsidRDefault="00E8335E" w:rsidP="00E8335E">
      <w:pPr>
        <w:pStyle w:val="ListParagraph"/>
        <w:tabs>
          <w:tab w:val="left" w:pos="1408"/>
        </w:tabs>
        <w:ind w:right="1113" w:firstLine="0"/>
        <w:rPr>
          <w:rFonts w:ascii="Calibri"/>
          <w:color w:val="333333"/>
        </w:rPr>
      </w:pPr>
    </w:p>
    <w:p w14:paraId="37AD4780" w14:textId="77777777" w:rsidR="00E8335E" w:rsidRDefault="00E8335E" w:rsidP="00836600">
      <w:pPr>
        <w:pStyle w:val="ListParagraph"/>
        <w:numPr>
          <w:ilvl w:val="0"/>
          <w:numId w:val="3"/>
        </w:numPr>
        <w:tabs>
          <w:tab w:val="left" w:pos="1408"/>
        </w:tabs>
        <w:spacing w:before="1"/>
        <w:ind w:right="1193"/>
        <w:rPr>
          <w:rFonts w:ascii="Calibri"/>
          <w:color w:val="333333"/>
        </w:rPr>
      </w:pPr>
      <w:r>
        <w:rPr>
          <w:rFonts w:ascii="Calibri"/>
          <w:color w:val="333333"/>
        </w:rPr>
        <w:t xml:space="preserve">The Judge at Salisbury correctly identified as an aside, that costs were not added in the Beavis case. That is because this had already been addressed in </w:t>
      </w:r>
      <w:proofErr w:type="spellStart"/>
      <w:r>
        <w:rPr>
          <w:rFonts w:ascii="Calibri"/>
          <w:color w:val="333333"/>
        </w:rPr>
        <w:t>ParkingEye's</w:t>
      </w:r>
      <w:proofErr w:type="spellEnd"/>
      <w:r>
        <w:rPr>
          <w:rFonts w:ascii="Calibri"/>
          <w:color w:val="333333"/>
        </w:rPr>
        <w:t xml:space="preserve"> earlier claim, the pre- Beavis High Court (endorsed by the Court of Appeal) case </w:t>
      </w:r>
      <w:r>
        <w:rPr>
          <w:rFonts w:ascii="Calibri"/>
          <w:i/>
          <w:color w:val="333333"/>
        </w:rPr>
        <w:t>ParkingEye v Somerfield (ref para 419):</w:t>
      </w:r>
      <w:r>
        <w:rPr>
          <w:rFonts w:ascii="Calibri"/>
          <w:i/>
          <w:color w:val="2C55A7"/>
          <w:spacing w:val="48"/>
        </w:rPr>
        <w:t xml:space="preserve"> </w:t>
      </w:r>
      <w:hyperlink r:id="rId14" w:history="1">
        <w:r>
          <w:rPr>
            <w:rStyle w:val="Hyperlink"/>
            <w:rFonts w:ascii="Calibri"/>
            <w:color w:val="2C55A7"/>
          </w:rPr>
          <w:t>https://www.bailii.org/ew/cases/EWHC/QB/2011/4023.html</w:t>
        </w:r>
      </w:hyperlink>
    </w:p>
    <w:p w14:paraId="0D9CCDA6" w14:textId="7F3A003C" w:rsidR="00E8335E" w:rsidRPr="00836600" w:rsidRDefault="00E8335E" w:rsidP="00836600">
      <w:pPr>
        <w:pStyle w:val="ListParagraph"/>
        <w:numPr>
          <w:ilvl w:val="0"/>
          <w:numId w:val="3"/>
        </w:numPr>
        <w:ind w:right="1064"/>
        <w:rPr>
          <w:i/>
          <w:color w:val="333333"/>
        </w:rPr>
      </w:pPr>
      <w:r w:rsidRPr="00836600">
        <w:rPr>
          <w:i/>
          <w:color w:val="333333"/>
        </w:rPr>
        <w:t xml:space="preserve">''It seems to me that, in the present case, it would be difficult for ParkingEye to justify, as against any motorist, a claim for payment of the enhanced sum of £135 </w:t>
      </w:r>
      <w:r w:rsidRPr="00836600">
        <w:rPr>
          <w:i/>
          <w:color w:val="333333"/>
        </w:rPr>
        <w:lastRenderedPageBreak/>
        <w:t xml:space="preserve">if the motorist took the point that the additional £60 over and above the original figure of £75 constituted a penalty. It might be possible for ParkingEye to show that the additional administrative costs involved were substantial, though I very much doubt whether they would be able to justify this </w:t>
      </w:r>
      <w:proofErr w:type="gramStart"/>
      <w:r w:rsidRPr="00836600">
        <w:rPr>
          <w:i/>
          <w:color w:val="333333"/>
        </w:rPr>
        <w:t>very large</w:t>
      </w:r>
      <w:proofErr w:type="gramEnd"/>
      <w:r w:rsidRPr="00836600">
        <w:rPr>
          <w:i/>
          <w:color w:val="333333"/>
        </w:rPr>
        <w:t xml:space="preserve"> increase on that basis. On the face of it, it seems to me that the predominant contractual function of this additional payment must have been to deter the motorist from breaking his contractual obligation to pay the basic charge of £75 within the time specified, rather than to compensate ParkingEye for late payment. Applying the formula adopted by Colman J. in the </w:t>
      </w:r>
      <w:proofErr w:type="spellStart"/>
      <w:r w:rsidRPr="00836600">
        <w:rPr>
          <w:i/>
          <w:color w:val="333333"/>
        </w:rPr>
        <w:t>Lordsvale</w:t>
      </w:r>
      <w:proofErr w:type="spellEnd"/>
      <w:r w:rsidRPr="00836600">
        <w:rPr>
          <w:i/>
          <w:color w:val="333333"/>
        </w:rPr>
        <w:t xml:space="preserve"> case, therefore, the additional £60 would appear to be penal in nature; and it is well established that, in those circumstances, it cannot be recovered, though the other party would have at least a theoretical right to damages for breach of the primary obligation.''</w:t>
      </w:r>
    </w:p>
    <w:p w14:paraId="6F27F05C" w14:textId="0DCF9CFE" w:rsidR="003F240B" w:rsidRDefault="003F240B" w:rsidP="00E8335E">
      <w:pPr>
        <w:ind w:left="1407" w:right="1064"/>
        <w:rPr>
          <w:i/>
          <w:color w:val="333333"/>
        </w:rPr>
      </w:pPr>
    </w:p>
    <w:p w14:paraId="70C66FBF" w14:textId="07B9EA6D" w:rsidR="007F261B" w:rsidRDefault="007F261B" w:rsidP="00E8335E">
      <w:pPr>
        <w:ind w:left="1407" w:right="1064"/>
        <w:rPr>
          <w:i/>
          <w:color w:val="333333"/>
        </w:rPr>
      </w:pPr>
    </w:p>
    <w:p w14:paraId="02630AC7" w14:textId="2CA12A18" w:rsidR="007F261B" w:rsidRDefault="007F261B" w:rsidP="00E8335E">
      <w:pPr>
        <w:ind w:left="1407" w:right="1064"/>
        <w:rPr>
          <w:i/>
          <w:color w:val="333333"/>
        </w:rPr>
      </w:pPr>
    </w:p>
    <w:p w14:paraId="3DD89E3B" w14:textId="3A3B212A" w:rsidR="007F261B" w:rsidRDefault="007F261B" w:rsidP="00E8335E">
      <w:pPr>
        <w:ind w:left="1407" w:right="1064"/>
        <w:rPr>
          <w:i/>
          <w:color w:val="333333"/>
        </w:rPr>
      </w:pPr>
    </w:p>
    <w:p w14:paraId="09741909" w14:textId="45F11A67" w:rsidR="007F261B" w:rsidRDefault="007F261B" w:rsidP="00E8335E">
      <w:pPr>
        <w:ind w:left="1407" w:right="1064"/>
        <w:rPr>
          <w:i/>
          <w:color w:val="333333"/>
        </w:rPr>
      </w:pPr>
    </w:p>
    <w:p w14:paraId="4D8EBABB" w14:textId="77777777" w:rsidR="007F261B" w:rsidRDefault="007F261B" w:rsidP="00E8335E">
      <w:pPr>
        <w:ind w:left="1407" w:right="1064"/>
        <w:rPr>
          <w:i/>
          <w:color w:val="333333"/>
        </w:rPr>
      </w:pPr>
    </w:p>
    <w:p w14:paraId="3EB492B8" w14:textId="306D7676" w:rsidR="003F240B" w:rsidRDefault="003F240B" w:rsidP="00E8335E">
      <w:pPr>
        <w:ind w:left="1407" w:right="1064"/>
        <w:rPr>
          <w:i/>
          <w:color w:val="333333"/>
        </w:rPr>
      </w:pPr>
    </w:p>
    <w:p w14:paraId="726649A2" w14:textId="5923B19A" w:rsidR="003F240B" w:rsidRDefault="003F240B" w:rsidP="00E8335E">
      <w:pPr>
        <w:ind w:left="1407" w:right="1064"/>
        <w:rPr>
          <w:i/>
          <w:color w:val="333333"/>
        </w:rPr>
      </w:pPr>
    </w:p>
    <w:p w14:paraId="4961548F" w14:textId="35F5D634" w:rsidR="003F240B" w:rsidRDefault="003F240B" w:rsidP="00E8335E">
      <w:pPr>
        <w:ind w:left="1407" w:right="1064"/>
        <w:rPr>
          <w:i/>
          <w:color w:val="333333"/>
        </w:rPr>
      </w:pPr>
    </w:p>
    <w:p w14:paraId="33276414" w14:textId="09372F48" w:rsidR="003F240B" w:rsidRDefault="003F240B" w:rsidP="00E8335E">
      <w:pPr>
        <w:ind w:left="1407" w:right="1064"/>
        <w:rPr>
          <w:i/>
          <w:color w:val="333333"/>
        </w:rPr>
      </w:pPr>
    </w:p>
    <w:p w14:paraId="251D92BB" w14:textId="7A92E4E6" w:rsidR="003F240B" w:rsidRDefault="003F240B" w:rsidP="00E8335E">
      <w:pPr>
        <w:ind w:left="1407" w:right="1064"/>
        <w:rPr>
          <w:i/>
          <w:color w:val="333333"/>
        </w:rPr>
      </w:pPr>
    </w:p>
    <w:p w14:paraId="2182FF3C" w14:textId="77777777" w:rsidR="003F240B" w:rsidRDefault="003F240B" w:rsidP="00E8335E">
      <w:pPr>
        <w:ind w:left="1407" w:right="1064"/>
        <w:rPr>
          <w:i/>
        </w:rPr>
      </w:pPr>
    </w:p>
    <w:p w14:paraId="538A0C1B" w14:textId="77777777" w:rsidR="00E8335E" w:rsidRPr="00836600" w:rsidRDefault="00E8335E" w:rsidP="00836600">
      <w:pPr>
        <w:pStyle w:val="ListParagraph"/>
        <w:numPr>
          <w:ilvl w:val="0"/>
          <w:numId w:val="3"/>
        </w:numPr>
        <w:rPr>
          <w:b/>
          <w:sz w:val="24"/>
        </w:rPr>
      </w:pPr>
      <w:r w:rsidRPr="00836600">
        <w:rPr>
          <w:b/>
          <w:color w:val="333333"/>
          <w:sz w:val="24"/>
        </w:rPr>
        <w:t>Abuse of process - the quantum</w:t>
      </w:r>
    </w:p>
    <w:p w14:paraId="71FF477D" w14:textId="77777777" w:rsidR="00E8335E" w:rsidRDefault="00E8335E" w:rsidP="00E8335E">
      <w:pPr>
        <w:pStyle w:val="BodyText"/>
        <w:spacing w:before="10"/>
        <w:rPr>
          <w:b/>
          <w:sz w:val="21"/>
        </w:rPr>
      </w:pPr>
    </w:p>
    <w:p w14:paraId="696684E3" w14:textId="77777777" w:rsidR="00E8335E" w:rsidRDefault="00E8335E" w:rsidP="00E8335E">
      <w:pPr>
        <w:pStyle w:val="BodyText"/>
        <w:spacing w:before="2"/>
      </w:pPr>
    </w:p>
    <w:p w14:paraId="1D04E9AF" w14:textId="77777777" w:rsidR="00E8335E" w:rsidRDefault="00E8335E" w:rsidP="00E8335E">
      <w:pPr>
        <w:pStyle w:val="BodyText"/>
        <w:spacing w:before="11"/>
        <w:rPr>
          <w:i/>
          <w:sz w:val="21"/>
        </w:rPr>
      </w:pPr>
    </w:p>
    <w:p w14:paraId="6085A3A8" w14:textId="77777777" w:rsidR="00E8335E" w:rsidRPr="00836600" w:rsidRDefault="00E8335E" w:rsidP="00836600">
      <w:pPr>
        <w:pStyle w:val="ListParagraph"/>
        <w:numPr>
          <w:ilvl w:val="0"/>
          <w:numId w:val="3"/>
        </w:numPr>
        <w:tabs>
          <w:tab w:val="left" w:pos="1408"/>
        </w:tabs>
        <w:spacing w:before="1"/>
        <w:ind w:right="983"/>
        <w:rPr>
          <w:color w:val="333333"/>
        </w:rPr>
      </w:pPr>
      <w:r w:rsidRPr="00836600">
        <w:rPr>
          <w:color w:val="333333"/>
        </w:rPr>
        <w:t xml:space="preserve">This stopped ParkingEye from using that business model again, particularly because HHJ Hegarty had found them to have committed the 'tort of deceit' by their debt demands. So, the Beavis case only considered an £85 parking charge but was clear at paras 98, 193 and 198 that the rationale of that inflated sum (well over any possible loss/damages) was precisely because it included (the Judges held, three times) 'all the costs of the operation'. It is an abuse of process to add sums that were not incurred. Costs </w:t>
      </w:r>
      <w:r w:rsidRPr="00836600">
        <w:rPr>
          <w:color w:val="333333"/>
          <w:u w:val="single" w:color="333333"/>
        </w:rPr>
        <w:t>must</w:t>
      </w:r>
      <w:r w:rsidRPr="00836600">
        <w:rPr>
          <w:color w:val="333333"/>
        </w:rPr>
        <w:t xml:space="preserve"> already be included in the parking charge rationale if a parking operator wishes to base their model on the </w:t>
      </w:r>
      <w:r w:rsidRPr="00836600">
        <w:rPr>
          <w:i/>
          <w:color w:val="333333"/>
        </w:rPr>
        <w:t xml:space="preserve">ParkingEye v Beavis </w:t>
      </w:r>
      <w:r w:rsidRPr="00836600">
        <w:rPr>
          <w:color w:val="333333"/>
        </w:rPr>
        <w:t xml:space="preserve">case and not a damages/loss model. This Claimant </w:t>
      </w:r>
      <w:proofErr w:type="gramStart"/>
      <w:r w:rsidRPr="00836600">
        <w:rPr>
          <w:color w:val="333333"/>
        </w:rPr>
        <w:t>can't</w:t>
      </w:r>
      <w:proofErr w:type="gramEnd"/>
      <w:r w:rsidRPr="00836600">
        <w:rPr>
          <w:color w:val="333333"/>
        </w:rPr>
        <w:t xml:space="preserve"> have</w:t>
      </w:r>
      <w:r w:rsidRPr="00836600">
        <w:rPr>
          <w:color w:val="333333"/>
          <w:spacing w:val="-5"/>
        </w:rPr>
        <w:t xml:space="preserve"> </w:t>
      </w:r>
      <w:r w:rsidRPr="00836600">
        <w:rPr>
          <w:color w:val="333333"/>
        </w:rPr>
        <w:t>both.</w:t>
      </w:r>
    </w:p>
    <w:p w14:paraId="01E45002" w14:textId="77777777" w:rsidR="00E8335E" w:rsidRDefault="00E8335E" w:rsidP="00E8335E">
      <w:pPr>
        <w:pStyle w:val="BodyText"/>
      </w:pPr>
    </w:p>
    <w:p w14:paraId="2EDE0663" w14:textId="77777777" w:rsidR="00E8335E" w:rsidRDefault="00E8335E" w:rsidP="00836600">
      <w:pPr>
        <w:pStyle w:val="ListParagraph"/>
        <w:numPr>
          <w:ilvl w:val="0"/>
          <w:numId w:val="3"/>
        </w:numPr>
        <w:tabs>
          <w:tab w:val="left" w:pos="1408"/>
        </w:tabs>
        <w:ind w:right="1104"/>
        <w:rPr>
          <w:rFonts w:ascii="Calibri" w:hAnsi="Calibri"/>
          <w:color w:val="333333"/>
        </w:rPr>
      </w:pPr>
      <w:r>
        <w:rPr>
          <w:rFonts w:ascii="Calibri" w:hAnsi="Calibri"/>
          <w:color w:val="333333"/>
        </w:rPr>
        <w:t xml:space="preserve">This Claimant knew or should have known, that by adding £60 in costs over and above the purpose of the 'parking charge' to the global sum claimed is unrecoverable, due to the POFA at 4(5), the </w:t>
      </w:r>
      <w:r>
        <w:rPr>
          <w:rFonts w:ascii="Calibri" w:hAnsi="Calibri"/>
          <w:i/>
          <w:color w:val="333333"/>
        </w:rPr>
        <w:t xml:space="preserve">Beavis </w:t>
      </w:r>
      <w:r>
        <w:rPr>
          <w:rFonts w:ascii="Calibri" w:hAnsi="Calibri"/>
          <w:color w:val="333333"/>
        </w:rPr>
        <w:t xml:space="preserve">case paras 98, 193 and 198 (exhibit - xx-10), the earlier </w:t>
      </w:r>
      <w:r>
        <w:rPr>
          <w:rFonts w:ascii="Calibri" w:hAnsi="Calibri"/>
          <w:i/>
          <w:color w:val="333333"/>
        </w:rPr>
        <w:t xml:space="preserve">ParkingEye Ltd v Somerfield </w:t>
      </w:r>
      <w:r>
        <w:rPr>
          <w:rFonts w:ascii="Calibri" w:hAnsi="Calibri"/>
          <w:color w:val="333333"/>
        </w:rPr>
        <w:t xml:space="preserve">High Court case and the Consumer Rights Act 2015 ('CRA') </w:t>
      </w:r>
      <w:proofErr w:type="spellStart"/>
      <w:r>
        <w:rPr>
          <w:rFonts w:ascii="Calibri" w:hAnsi="Calibri"/>
          <w:color w:val="333333"/>
        </w:rPr>
        <w:t>Sch</w:t>
      </w:r>
      <w:proofErr w:type="spellEnd"/>
      <w:r>
        <w:rPr>
          <w:rFonts w:ascii="Calibri" w:hAnsi="Calibri"/>
          <w:color w:val="333333"/>
        </w:rPr>
        <w:t xml:space="preserve"> 2, paras 6, 10</w:t>
      </w:r>
      <w:r>
        <w:rPr>
          <w:rFonts w:ascii="Calibri" w:hAnsi="Calibri"/>
          <w:color w:val="333333"/>
          <w:spacing w:val="-27"/>
        </w:rPr>
        <w:t xml:space="preserve"> </w:t>
      </w:r>
      <w:r>
        <w:rPr>
          <w:rFonts w:ascii="Calibri" w:hAnsi="Calibri"/>
          <w:color w:val="333333"/>
        </w:rPr>
        <w:t>and</w:t>
      </w:r>
    </w:p>
    <w:p w14:paraId="16A7DD82" w14:textId="77777777" w:rsidR="00E8335E" w:rsidRDefault="00E8335E" w:rsidP="00836600">
      <w:pPr>
        <w:pStyle w:val="BodyText"/>
        <w:numPr>
          <w:ilvl w:val="0"/>
          <w:numId w:val="3"/>
        </w:numPr>
        <w:ind w:right="1032"/>
        <w:rPr>
          <w:color w:val="333333"/>
        </w:rPr>
      </w:pPr>
      <w:r>
        <w:rPr>
          <w:color w:val="333333"/>
        </w:rPr>
        <w:t>14. All of those seem to be breached in my case and the claim is pleaded on an incorrect premise with a complete lack of any legitimate interest.</w:t>
      </w:r>
    </w:p>
    <w:p w14:paraId="40E99107" w14:textId="77777777" w:rsidR="00E8335E" w:rsidRDefault="00E8335E" w:rsidP="00836600">
      <w:pPr>
        <w:pStyle w:val="ListParagraph"/>
        <w:numPr>
          <w:ilvl w:val="0"/>
          <w:numId w:val="3"/>
        </w:numPr>
        <w:tabs>
          <w:tab w:val="left" w:pos="1408"/>
        </w:tabs>
        <w:ind w:right="1174"/>
        <w:rPr>
          <w:rFonts w:ascii="Calibri"/>
          <w:color w:val="333333"/>
        </w:rPr>
      </w:pPr>
      <w:r>
        <w:rPr>
          <w:rFonts w:ascii="Calibri"/>
          <w:color w:val="333333"/>
        </w:rPr>
        <w:t>Not drawing onerous terms to the attention of a consumer breaches Lord Denning's 'red hand rule' and in addition the global sum on the particulars of claim is unfair under</w:t>
      </w:r>
      <w:r>
        <w:rPr>
          <w:rFonts w:ascii="Calibri"/>
          <w:color w:val="333333"/>
          <w:spacing w:val="-14"/>
        </w:rPr>
        <w:t xml:space="preserve"> </w:t>
      </w:r>
      <w:r>
        <w:rPr>
          <w:rFonts w:ascii="Calibri"/>
          <w:color w:val="333333"/>
        </w:rPr>
        <w:t>the</w:t>
      </w:r>
    </w:p>
    <w:p w14:paraId="5B6D9A59" w14:textId="77777777" w:rsidR="00E8335E" w:rsidRDefault="00E8335E" w:rsidP="00836600">
      <w:pPr>
        <w:pStyle w:val="BodyText"/>
        <w:numPr>
          <w:ilvl w:val="0"/>
          <w:numId w:val="3"/>
        </w:numPr>
        <w:spacing w:before="1"/>
        <w:ind w:right="1336"/>
      </w:pPr>
      <w:r>
        <w:rPr>
          <w:color w:val="333333"/>
        </w:rPr>
        <w:t>CRA. Consumer notices are never exempt from the test of fairness and the court has a duty under s71 of the CRA to consider the terms and the signs to identify the breaches of the CRA. Not only is the added vague sum not stated on the notices at all (despite the Claimant</w:t>
      </w:r>
    </w:p>
    <w:p w14:paraId="16C73C40" w14:textId="77777777" w:rsidR="00E8335E" w:rsidRDefault="00E8335E" w:rsidP="00836600">
      <w:pPr>
        <w:pStyle w:val="BodyText"/>
        <w:numPr>
          <w:ilvl w:val="0"/>
          <w:numId w:val="3"/>
        </w:numPr>
        <w:ind w:right="1032"/>
      </w:pPr>
      <w:r>
        <w:rPr>
          <w:color w:val="333333"/>
        </w:rPr>
        <w:t xml:space="preserve">claiming it is in their Witness Statement in writing and by appending signage that </w:t>
      </w:r>
      <w:r>
        <w:rPr>
          <w:color w:val="333333"/>
        </w:rPr>
        <w:lastRenderedPageBreak/>
        <w:t xml:space="preserve">does not exist at the car park), but the official CMA guidance to the CRA covers this and makes it clear that words like 'indemnity' are objectionable in themselves and any term trying to allow a trader to recover costs twice would (of course) be void, even if the added sum </w:t>
      </w:r>
      <w:proofErr w:type="gramStart"/>
      <w:r>
        <w:rPr>
          <w:color w:val="333333"/>
        </w:rPr>
        <w:t>was</w:t>
      </w:r>
      <w:proofErr w:type="gramEnd"/>
      <w:r>
        <w:rPr>
          <w:color w:val="333333"/>
        </w:rPr>
        <w:t xml:space="preserve"> on the signs.</w:t>
      </w:r>
    </w:p>
    <w:p w14:paraId="745F16A6" w14:textId="77777777" w:rsidR="00E8335E" w:rsidRDefault="00E8335E" w:rsidP="00E8335E">
      <w:pPr>
        <w:pStyle w:val="BodyText"/>
        <w:spacing w:before="1"/>
        <w:rPr>
          <w:sz w:val="24"/>
        </w:rPr>
      </w:pPr>
    </w:p>
    <w:p w14:paraId="7EF4CF5E" w14:textId="77777777" w:rsidR="00E8335E" w:rsidRPr="00836600" w:rsidRDefault="00E8335E" w:rsidP="00836600">
      <w:pPr>
        <w:pStyle w:val="ListParagraph"/>
        <w:numPr>
          <w:ilvl w:val="0"/>
          <w:numId w:val="3"/>
        </w:numPr>
        <w:spacing w:before="1"/>
        <w:rPr>
          <w:b/>
          <w:sz w:val="24"/>
        </w:rPr>
      </w:pPr>
      <w:r w:rsidRPr="00836600">
        <w:rPr>
          <w:b/>
          <w:color w:val="333333"/>
          <w:sz w:val="24"/>
        </w:rPr>
        <w:t>CPR 44.11 - further</w:t>
      </w:r>
      <w:r w:rsidRPr="00836600">
        <w:rPr>
          <w:b/>
          <w:color w:val="333333"/>
          <w:spacing w:val="-13"/>
          <w:sz w:val="24"/>
        </w:rPr>
        <w:t xml:space="preserve"> </w:t>
      </w:r>
      <w:r w:rsidRPr="00836600">
        <w:rPr>
          <w:b/>
          <w:color w:val="333333"/>
          <w:sz w:val="24"/>
        </w:rPr>
        <w:t>costs</w:t>
      </w:r>
    </w:p>
    <w:p w14:paraId="10C44D1A" w14:textId="77777777" w:rsidR="00E8335E" w:rsidRDefault="00E8335E" w:rsidP="00E8335E">
      <w:pPr>
        <w:pStyle w:val="BodyText"/>
        <w:spacing w:before="9"/>
        <w:rPr>
          <w:b/>
          <w:sz w:val="21"/>
        </w:rPr>
      </w:pPr>
    </w:p>
    <w:p w14:paraId="55CE8CFA" w14:textId="1518CD43" w:rsidR="00E8335E" w:rsidRDefault="00E8335E" w:rsidP="00836600">
      <w:pPr>
        <w:pStyle w:val="ListParagraph"/>
        <w:numPr>
          <w:ilvl w:val="0"/>
          <w:numId w:val="3"/>
        </w:numPr>
        <w:tabs>
          <w:tab w:val="left" w:pos="1408"/>
        </w:tabs>
        <w:ind w:right="1076"/>
        <w:rPr>
          <w:rFonts w:ascii="Calibri"/>
          <w:color w:val="333333"/>
        </w:rPr>
      </w:pPr>
      <w:r>
        <w:rPr>
          <w:rFonts w:ascii="Calibri"/>
          <w:color w:val="333333"/>
        </w:rPr>
        <w:t>I am appending with this bundle, a fully detailed costs assessment which also covers my proportionate but unavoidable further costs and I invite the court to consider making an award to include these, pursuant to the court's powers in relation to misconduct (CPR 44.11). In support of that argument. This is compounded by the witness altering the Statement of Truth (an attempt to avoid a personal duty) and attaching stock images of signs instead of actual images and a redacted 'landowner authority' document that could be from anyone.</w:t>
      </w:r>
    </w:p>
    <w:p w14:paraId="7387426D" w14:textId="635761F7" w:rsidR="00926536" w:rsidRDefault="00926536" w:rsidP="00926536">
      <w:pPr>
        <w:tabs>
          <w:tab w:val="left" w:pos="1408"/>
        </w:tabs>
        <w:ind w:right="1076"/>
        <w:rPr>
          <w:color w:val="333333"/>
        </w:rPr>
      </w:pPr>
    </w:p>
    <w:p w14:paraId="2A56218A" w14:textId="77777777" w:rsidR="00926536" w:rsidRPr="00926536" w:rsidRDefault="00926536" w:rsidP="00926536">
      <w:pPr>
        <w:tabs>
          <w:tab w:val="left" w:pos="1408"/>
        </w:tabs>
        <w:ind w:right="1076"/>
        <w:rPr>
          <w:color w:val="333333"/>
        </w:rPr>
      </w:pPr>
    </w:p>
    <w:p w14:paraId="700324F0" w14:textId="77777777" w:rsidR="00E8335E" w:rsidRDefault="00E8335E" w:rsidP="00E8335E">
      <w:pPr>
        <w:pStyle w:val="BodyText"/>
        <w:spacing w:before="3"/>
        <w:rPr>
          <w:sz w:val="24"/>
        </w:rPr>
      </w:pPr>
    </w:p>
    <w:p w14:paraId="43AD0E63" w14:textId="77777777" w:rsidR="00E8335E" w:rsidRPr="00836600" w:rsidRDefault="00E8335E" w:rsidP="00836600">
      <w:pPr>
        <w:pStyle w:val="ListParagraph"/>
        <w:numPr>
          <w:ilvl w:val="0"/>
          <w:numId w:val="3"/>
        </w:numPr>
        <w:rPr>
          <w:b/>
          <w:sz w:val="24"/>
        </w:rPr>
      </w:pPr>
      <w:r w:rsidRPr="00836600">
        <w:rPr>
          <w:b/>
          <w:color w:val="333333"/>
          <w:sz w:val="24"/>
        </w:rPr>
        <w:t>My fixed witness costs - ref PD 27, 7.3(1) and CPR 27.14</w:t>
      </w:r>
    </w:p>
    <w:p w14:paraId="610DC7E6" w14:textId="77777777" w:rsidR="00E8335E" w:rsidRDefault="00E8335E" w:rsidP="00E8335E">
      <w:pPr>
        <w:pStyle w:val="BodyText"/>
        <w:spacing w:before="9"/>
        <w:rPr>
          <w:b/>
          <w:sz w:val="23"/>
        </w:rPr>
      </w:pPr>
    </w:p>
    <w:p w14:paraId="68BABDE2" w14:textId="77777777" w:rsidR="00E8335E" w:rsidRDefault="00E8335E" w:rsidP="00836600">
      <w:pPr>
        <w:pStyle w:val="ListParagraph"/>
        <w:numPr>
          <w:ilvl w:val="0"/>
          <w:numId w:val="3"/>
        </w:numPr>
        <w:tabs>
          <w:tab w:val="left" w:pos="1408"/>
        </w:tabs>
        <w:spacing w:line="276" w:lineRule="auto"/>
        <w:ind w:right="1683"/>
        <w:rPr>
          <w:rFonts w:ascii="Calibri"/>
        </w:rPr>
      </w:pPr>
      <w:r>
        <w:rPr>
          <w:rFonts w:ascii="Calibri"/>
          <w:color w:val="333333"/>
        </w:rPr>
        <w:t>As a litigant-in-person I have had to learn relevant law from the ground up and spent a considerable time researching the law online, processing and preparing my defence</w:t>
      </w:r>
      <w:r>
        <w:rPr>
          <w:rFonts w:ascii="Calibri"/>
          <w:color w:val="333333"/>
          <w:spacing w:val="-22"/>
        </w:rPr>
        <w:t xml:space="preserve"> </w:t>
      </w:r>
      <w:r>
        <w:rPr>
          <w:rFonts w:ascii="Calibri"/>
          <w:color w:val="333333"/>
        </w:rPr>
        <w:t>plus</w:t>
      </w:r>
    </w:p>
    <w:p w14:paraId="5F13868E" w14:textId="572A55B1" w:rsidR="00E8335E" w:rsidRDefault="00E8335E" w:rsidP="00836600">
      <w:pPr>
        <w:pStyle w:val="BodyText"/>
        <w:numPr>
          <w:ilvl w:val="0"/>
          <w:numId w:val="3"/>
        </w:numPr>
        <w:spacing w:line="276" w:lineRule="auto"/>
        <w:ind w:right="1092"/>
      </w:pPr>
      <w:r>
        <w:rPr>
          <w:color w:val="333333"/>
        </w:rPr>
        <w:t xml:space="preserve">this witness </w:t>
      </w:r>
      <w:proofErr w:type="gramStart"/>
      <w:r w:rsidR="004400EB">
        <w:rPr>
          <w:color w:val="333333"/>
        </w:rPr>
        <w:t>statement</w:t>
      </w:r>
      <w:proofErr w:type="gramEnd"/>
      <w:r>
        <w:rPr>
          <w:color w:val="333333"/>
        </w:rPr>
        <w:t xml:space="preserve">. I ask for my fixed witness costs. I am advised that costs on the Small Claims track are governed by rule 27.14 of the CPR and (unless a finding of 'wholly unreasonable conduct' is made against the Claimant) the Court may not order a party to pay another party’s costs, </w:t>
      </w:r>
      <w:r>
        <w:rPr>
          <w:i/>
          <w:color w:val="333333"/>
        </w:rPr>
        <w:t xml:space="preserve">except fixed costs such as witness expenses </w:t>
      </w:r>
      <w:r>
        <w:rPr>
          <w:color w:val="333333"/>
        </w:rPr>
        <w:t>which a party has reasonably incurred in travelling to and from the hearing (including fares and/or parking fees) plus the court may award a set amount allowable for loss of earnings or loss of leave.</w:t>
      </w:r>
    </w:p>
    <w:p w14:paraId="0B1DCE4E" w14:textId="77777777" w:rsidR="00E8335E" w:rsidRDefault="00E8335E" w:rsidP="00E8335E">
      <w:pPr>
        <w:pStyle w:val="BodyText"/>
        <w:spacing w:before="11"/>
        <w:rPr>
          <w:sz w:val="24"/>
        </w:rPr>
      </w:pPr>
    </w:p>
    <w:p w14:paraId="11803C36" w14:textId="77777777" w:rsidR="00E8335E" w:rsidRDefault="00E8335E" w:rsidP="00836600">
      <w:pPr>
        <w:pStyle w:val="ListParagraph"/>
        <w:numPr>
          <w:ilvl w:val="0"/>
          <w:numId w:val="3"/>
        </w:numPr>
        <w:tabs>
          <w:tab w:val="left" w:pos="1408"/>
        </w:tabs>
        <w:spacing w:line="276" w:lineRule="auto"/>
        <w:ind w:right="1129"/>
        <w:rPr>
          <w:rFonts w:ascii="Calibri" w:hAnsi="Calibri"/>
          <w:i/>
        </w:rPr>
      </w:pPr>
      <w:r>
        <w:rPr>
          <w:rFonts w:ascii="Calibri" w:hAnsi="Calibri"/>
          <w:color w:val="333333"/>
        </w:rPr>
        <w:t>The fixed sum for loss of earnings/loss of leave apply to any hearing format and are fixed costs at PD 27, 7.3(1) ''</w:t>
      </w:r>
      <w:r>
        <w:rPr>
          <w:rFonts w:ascii="Calibri" w:hAnsi="Calibri"/>
          <w:i/>
          <w:color w:val="333333"/>
        </w:rPr>
        <w:t xml:space="preserve">The amounts which a party may be ordered to pay under rule 27.14(3)(c) (loss of </w:t>
      </w:r>
      <w:proofErr w:type="gramStart"/>
      <w:r>
        <w:rPr>
          <w:rFonts w:ascii="Calibri" w:hAnsi="Calibri"/>
          <w:i/>
          <w:color w:val="333333"/>
        </w:rPr>
        <w:t>earnings)...</w:t>
      </w:r>
      <w:proofErr w:type="gramEnd"/>
      <w:r>
        <w:rPr>
          <w:rFonts w:ascii="Calibri" w:hAnsi="Calibri"/>
          <w:i/>
          <w:color w:val="333333"/>
        </w:rPr>
        <w:t xml:space="preserve"> are: (1) for the loss of earnings or loss of leave of each party or witness due to attending a hearing ... a sum not exceeding £120 per day for each</w:t>
      </w:r>
      <w:r>
        <w:rPr>
          <w:rFonts w:ascii="Calibri" w:hAnsi="Calibri"/>
          <w:i/>
          <w:color w:val="333333"/>
          <w:spacing w:val="-14"/>
        </w:rPr>
        <w:t xml:space="preserve"> </w:t>
      </w:r>
      <w:r>
        <w:rPr>
          <w:rFonts w:ascii="Calibri" w:hAnsi="Calibri"/>
          <w:i/>
          <w:color w:val="333333"/>
        </w:rPr>
        <w:t>person.''</w:t>
      </w:r>
    </w:p>
    <w:p w14:paraId="7F92AE18" w14:textId="77777777" w:rsidR="00E8335E" w:rsidRDefault="00E8335E" w:rsidP="00836600">
      <w:pPr>
        <w:pStyle w:val="Heading1"/>
        <w:numPr>
          <w:ilvl w:val="0"/>
          <w:numId w:val="3"/>
        </w:numPr>
      </w:pPr>
      <w:r>
        <w:t>Statement of truth:</w:t>
      </w:r>
    </w:p>
    <w:p w14:paraId="392DBDB0" w14:textId="77777777" w:rsidR="00E8335E" w:rsidRDefault="00E8335E" w:rsidP="00E8335E">
      <w:pPr>
        <w:pStyle w:val="BodyText"/>
        <w:spacing w:before="8"/>
        <w:rPr>
          <w:b/>
          <w:sz w:val="28"/>
        </w:rPr>
      </w:pPr>
    </w:p>
    <w:p w14:paraId="2AD2E33A" w14:textId="77777777" w:rsidR="00E8335E" w:rsidRDefault="00E8335E" w:rsidP="00836600">
      <w:pPr>
        <w:pStyle w:val="BodyText"/>
        <w:numPr>
          <w:ilvl w:val="0"/>
          <w:numId w:val="3"/>
        </w:numPr>
        <w:spacing w:line="276" w:lineRule="auto"/>
        <w:ind w:right="1164"/>
      </w:pPr>
      <w:r>
        <w:t>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14:paraId="7763FD30" w14:textId="77777777" w:rsidR="00E8335E" w:rsidRDefault="00E8335E" w:rsidP="00E8335E">
      <w:pPr>
        <w:pStyle w:val="BodyText"/>
      </w:pPr>
    </w:p>
    <w:p w14:paraId="51F50177" w14:textId="77777777" w:rsidR="00E8335E" w:rsidRDefault="00E8335E" w:rsidP="00E8335E">
      <w:pPr>
        <w:pStyle w:val="BodyText"/>
        <w:spacing w:before="9"/>
        <w:rPr>
          <w:sz w:val="28"/>
        </w:rPr>
      </w:pPr>
    </w:p>
    <w:p w14:paraId="7DD8AEE1" w14:textId="5A6DA23A" w:rsidR="00E8335E" w:rsidRDefault="00E8335E" w:rsidP="00E8335E">
      <w:pPr>
        <w:pStyle w:val="Heading1"/>
      </w:pPr>
      <w:r>
        <w:t>SIGNATURE</w:t>
      </w:r>
    </w:p>
    <w:p w14:paraId="3AF560A4" w14:textId="728937AF" w:rsidR="00E8335E" w:rsidRDefault="00E8335E" w:rsidP="00E8335E">
      <w:pPr>
        <w:pStyle w:val="Heading1"/>
      </w:pPr>
    </w:p>
    <w:p w14:paraId="152A390D" w14:textId="6D496325" w:rsidR="00E8335E" w:rsidRPr="00E8335E" w:rsidRDefault="00E8335E" w:rsidP="00E8335E">
      <w:pPr>
        <w:pStyle w:val="Heading1"/>
      </w:pPr>
      <w:r>
        <w:t>XXXXXXXXXX XXXXXX</w:t>
      </w:r>
    </w:p>
    <w:p w14:paraId="7CB9F581" w14:textId="6A48319E" w:rsidR="00E8335E" w:rsidRDefault="00E8335E"/>
    <w:p w14:paraId="3FB674BC" w14:textId="77777777" w:rsidR="00685B2F" w:rsidRDefault="00685B2F"/>
    <w:p w14:paraId="0E0BF850" w14:textId="77777777" w:rsidR="009F3F0F" w:rsidRDefault="009F3F0F">
      <w:pPr>
        <w:rPr>
          <w:b/>
          <w:bCs/>
        </w:rPr>
      </w:pPr>
    </w:p>
    <w:p w14:paraId="7C9D15B5" w14:textId="77777777" w:rsidR="009B5CD5" w:rsidRDefault="009B5CD5" w:rsidP="009B5CD5">
      <w:pPr>
        <w:rPr>
          <w:b/>
          <w:bCs/>
        </w:rPr>
      </w:pPr>
      <w:r w:rsidRPr="00E67F67">
        <w:rPr>
          <w:b/>
          <w:bCs/>
        </w:rPr>
        <w:t>Exhibit A</w:t>
      </w:r>
    </w:p>
    <w:p w14:paraId="03D97ABF" w14:textId="77777777" w:rsidR="009F3F0F" w:rsidRDefault="009F3F0F">
      <w:pPr>
        <w:rPr>
          <w:b/>
          <w:bCs/>
        </w:rPr>
      </w:pPr>
    </w:p>
    <w:p w14:paraId="36FE7AA5" w14:textId="77777777" w:rsidR="009F3F0F" w:rsidRDefault="009F3F0F">
      <w:pPr>
        <w:rPr>
          <w:b/>
          <w:bCs/>
        </w:rPr>
      </w:pPr>
    </w:p>
    <w:p w14:paraId="20F8AA85" w14:textId="77777777" w:rsidR="009F3F0F" w:rsidRDefault="009F3F0F">
      <w:pPr>
        <w:rPr>
          <w:b/>
          <w:bCs/>
        </w:rPr>
      </w:pPr>
    </w:p>
    <w:p w14:paraId="1CCDB2DE" w14:textId="77777777" w:rsidR="009F3F0F" w:rsidRDefault="009F3F0F">
      <w:pPr>
        <w:rPr>
          <w:b/>
          <w:bCs/>
        </w:rPr>
      </w:pPr>
    </w:p>
    <w:p w14:paraId="198A48BE" w14:textId="77777777" w:rsidR="009F3F0F" w:rsidRDefault="009F3F0F">
      <w:pPr>
        <w:rPr>
          <w:b/>
          <w:bCs/>
        </w:rPr>
      </w:pPr>
    </w:p>
    <w:p w14:paraId="74292F38" w14:textId="77777777" w:rsidR="009F3F0F" w:rsidRDefault="009F3F0F">
      <w:pPr>
        <w:rPr>
          <w:b/>
          <w:bCs/>
        </w:rPr>
      </w:pPr>
    </w:p>
    <w:p w14:paraId="4966A306" w14:textId="77777777" w:rsidR="009F3F0F" w:rsidRDefault="009F3F0F">
      <w:pPr>
        <w:rPr>
          <w:b/>
          <w:bCs/>
        </w:rPr>
      </w:pPr>
    </w:p>
    <w:p w14:paraId="6B61652A" w14:textId="1272FF9C" w:rsidR="00061031" w:rsidRDefault="00061031">
      <w:pPr>
        <w:rPr>
          <w:b/>
          <w:bCs/>
        </w:rPr>
      </w:pPr>
    </w:p>
    <w:p w14:paraId="60C4C72E" w14:textId="2183B3F8" w:rsidR="00061031" w:rsidRPr="00E67F67" w:rsidRDefault="00061031">
      <w:pPr>
        <w:rPr>
          <w:b/>
          <w:bCs/>
        </w:rPr>
      </w:pPr>
      <w:r w:rsidRPr="00E67F67">
        <w:rPr>
          <w:b/>
          <w:bCs/>
          <w:noProof/>
        </w:rPr>
        <w:drawing>
          <wp:anchor distT="0" distB="0" distL="114300" distR="114300" simplePos="0" relativeHeight="251665408" behindDoc="0" locked="0" layoutInCell="1" allowOverlap="1" wp14:anchorId="3FBD4F67" wp14:editId="35842A2C">
            <wp:simplePos x="0" y="0"/>
            <wp:positionH relativeFrom="margin">
              <wp:posOffset>-760781</wp:posOffset>
            </wp:positionH>
            <wp:positionV relativeFrom="page">
              <wp:posOffset>1454862</wp:posOffset>
            </wp:positionV>
            <wp:extent cx="7058025" cy="3437890"/>
            <wp:effectExtent l="0" t="0" r="9525" b="0"/>
            <wp:wrapTopAndBottom/>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ap&#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058025" cy="34378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A459EE" w14:textId="3E000319" w:rsidR="002D7C7D" w:rsidRDefault="002D7C7D"/>
    <w:p w14:paraId="386ED5A7" w14:textId="77777777" w:rsidR="000976AA" w:rsidRDefault="000976AA">
      <w:pPr>
        <w:rPr>
          <w:b/>
          <w:bCs/>
        </w:rPr>
      </w:pPr>
    </w:p>
    <w:p w14:paraId="219D2A1A" w14:textId="77777777" w:rsidR="000976AA" w:rsidRDefault="000976AA">
      <w:pPr>
        <w:rPr>
          <w:b/>
          <w:bCs/>
        </w:rPr>
      </w:pPr>
    </w:p>
    <w:p w14:paraId="2D6B10A7" w14:textId="77777777" w:rsidR="000976AA" w:rsidRDefault="000976AA">
      <w:pPr>
        <w:rPr>
          <w:b/>
          <w:bCs/>
        </w:rPr>
      </w:pPr>
    </w:p>
    <w:p w14:paraId="3813FEA7" w14:textId="77777777" w:rsidR="000976AA" w:rsidRDefault="000976AA">
      <w:pPr>
        <w:rPr>
          <w:b/>
          <w:bCs/>
        </w:rPr>
      </w:pPr>
    </w:p>
    <w:p w14:paraId="63835916" w14:textId="77777777" w:rsidR="000976AA" w:rsidRDefault="000976AA">
      <w:pPr>
        <w:rPr>
          <w:b/>
          <w:bCs/>
        </w:rPr>
      </w:pPr>
    </w:p>
    <w:p w14:paraId="5A26EEFA" w14:textId="77777777" w:rsidR="000976AA" w:rsidRDefault="000976AA">
      <w:pPr>
        <w:rPr>
          <w:b/>
          <w:bCs/>
        </w:rPr>
      </w:pPr>
    </w:p>
    <w:p w14:paraId="0E93BC0D" w14:textId="77777777" w:rsidR="000976AA" w:rsidRDefault="000976AA">
      <w:pPr>
        <w:rPr>
          <w:b/>
          <w:bCs/>
        </w:rPr>
      </w:pPr>
    </w:p>
    <w:p w14:paraId="6311E8FE" w14:textId="77777777" w:rsidR="000976AA" w:rsidRDefault="000976AA">
      <w:pPr>
        <w:rPr>
          <w:b/>
          <w:bCs/>
        </w:rPr>
      </w:pPr>
    </w:p>
    <w:p w14:paraId="265280CF" w14:textId="77777777" w:rsidR="000976AA" w:rsidRDefault="000976AA">
      <w:pPr>
        <w:rPr>
          <w:b/>
          <w:bCs/>
        </w:rPr>
      </w:pPr>
    </w:p>
    <w:p w14:paraId="7BA6DC94" w14:textId="77777777" w:rsidR="000976AA" w:rsidRDefault="000976AA">
      <w:pPr>
        <w:rPr>
          <w:b/>
          <w:bCs/>
        </w:rPr>
      </w:pPr>
    </w:p>
    <w:p w14:paraId="194CD9E5" w14:textId="77777777" w:rsidR="000976AA" w:rsidRDefault="000976AA">
      <w:pPr>
        <w:rPr>
          <w:b/>
          <w:bCs/>
        </w:rPr>
      </w:pPr>
    </w:p>
    <w:p w14:paraId="7A54F923" w14:textId="77777777" w:rsidR="000976AA" w:rsidRDefault="000976AA">
      <w:pPr>
        <w:rPr>
          <w:b/>
          <w:bCs/>
        </w:rPr>
      </w:pPr>
    </w:p>
    <w:p w14:paraId="35F5ABAB" w14:textId="77777777" w:rsidR="000976AA" w:rsidRDefault="000976AA">
      <w:pPr>
        <w:rPr>
          <w:b/>
          <w:bCs/>
        </w:rPr>
      </w:pPr>
    </w:p>
    <w:p w14:paraId="7DEB2211" w14:textId="77777777" w:rsidR="000976AA" w:rsidRDefault="000976AA">
      <w:pPr>
        <w:rPr>
          <w:b/>
          <w:bCs/>
        </w:rPr>
      </w:pPr>
    </w:p>
    <w:p w14:paraId="0F07EE08" w14:textId="77777777" w:rsidR="000976AA" w:rsidRDefault="000976AA">
      <w:pPr>
        <w:rPr>
          <w:b/>
          <w:bCs/>
        </w:rPr>
      </w:pPr>
    </w:p>
    <w:p w14:paraId="3830994D" w14:textId="77777777" w:rsidR="000976AA" w:rsidRDefault="000976AA">
      <w:pPr>
        <w:rPr>
          <w:b/>
          <w:bCs/>
        </w:rPr>
      </w:pPr>
    </w:p>
    <w:p w14:paraId="37B776A8" w14:textId="77777777" w:rsidR="000976AA" w:rsidRDefault="000976AA">
      <w:pPr>
        <w:rPr>
          <w:b/>
          <w:bCs/>
        </w:rPr>
      </w:pPr>
    </w:p>
    <w:p w14:paraId="5906256E" w14:textId="77777777" w:rsidR="000976AA" w:rsidRDefault="000976AA">
      <w:pPr>
        <w:rPr>
          <w:b/>
          <w:bCs/>
        </w:rPr>
      </w:pPr>
    </w:p>
    <w:p w14:paraId="5D472D98" w14:textId="77777777" w:rsidR="000976AA" w:rsidRDefault="000976AA">
      <w:pPr>
        <w:rPr>
          <w:b/>
          <w:bCs/>
        </w:rPr>
      </w:pPr>
    </w:p>
    <w:p w14:paraId="20B95851" w14:textId="77777777" w:rsidR="000976AA" w:rsidRDefault="000976AA">
      <w:pPr>
        <w:rPr>
          <w:b/>
          <w:bCs/>
        </w:rPr>
      </w:pPr>
    </w:p>
    <w:p w14:paraId="54F28902" w14:textId="77777777" w:rsidR="000976AA" w:rsidRDefault="000976AA">
      <w:pPr>
        <w:rPr>
          <w:b/>
          <w:bCs/>
        </w:rPr>
      </w:pPr>
    </w:p>
    <w:p w14:paraId="5C8D0663" w14:textId="77777777" w:rsidR="000976AA" w:rsidRDefault="000976AA">
      <w:pPr>
        <w:rPr>
          <w:b/>
          <w:bCs/>
        </w:rPr>
      </w:pPr>
    </w:p>
    <w:p w14:paraId="532AF032" w14:textId="77777777" w:rsidR="000976AA" w:rsidRDefault="000976AA">
      <w:pPr>
        <w:rPr>
          <w:b/>
          <w:bCs/>
        </w:rPr>
      </w:pPr>
    </w:p>
    <w:p w14:paraId="07DD0F3A" w14:textId="77777777" w:rsidR="000976AA" w:rsidRDefault="000976AA">
      <w:pPr>
        <w:rPr>
          <w:b/>
          <w:bCs/>
        </w:rPr>
      </w:pPr>
    </w:p>
    <w:p w14:paraId="308565FB" w14:textId="77777777" w:rsidR="000976AA" w:rsidRDefault="000976AA">
      <w:pPr>
        <w:rPr>
          <w:b/>
          <w:bCs/>
        </w:rPr>
      </w:pPr>
    </w:p>
    <w:p w14:paraId="679F93C4" w14:textId="77777777" w:rsidR="000976AA" w:rsidRDefault="000976AA">
      <w:pPr>
        <w:rPr>
          <w:b/>
          <w:bCs/>
        </w:rPr>
      </w:pPr>
    </w:p>
    <w:p w14:paraId="2E15EA26" w14:textId="77777777" w:rsidR="000976AA" w:rsidRDefault="000976AA">
      <w:pPr>
        <w:rPr>
          <w:b/>
          <w:bCs/>
        </w:rPr>
      </w:pPr>
    </w:p>
    <w:p w14:paraId="064DB3EB" w14:textId="69C10CD3" w:rsidR="00E67F67" w:rsidRPr="00E67F67" w:rsidRDefault="00E67F67">
      <w:pPr>
        <w:rPr>
          <w:b/>
          <w:bCs/>
        </w:rPr>
      </w:pPr>
      <w:r w:rsidRPr="00E67F67">
        <w:rPr>
          <w:b/>
          <w:bCs/>
        </w:rPr>
        <w:t>Exhibit B</w:t>
      </w:r>
    </w:p>
    <w:p w14:paraId="2B15FEAB" w14:textId="77777777" w:rsidR="00E67F67" w:rsidRDefault="00E67F67"/>
    <w:p w14:paraId="4DF806AF" w14:textId="77777777" w:rsidR="00CA14C4" w:rsidRDefault="00CA14C4"/>
    <w:p w14:paraId="1242DD15" w14:textId="77777777" w:rsidR="00CA14C4" w:rsidRDefault="00CA14C4"/>
    <w:p w14:paraId="5FF38004" w14:textId="77777777" w:rsidR="00CA14C4" w:rsidRDefault="00CA14C4"/>
    <w:p w14:paraId="44CE6353" w14:textId="6621C2B0" w:rsidR="002D7C7D" w:rsidRDefault="002D7C7D">
      <w:r w:rsidRPr="00CA14C4">
        <w:rPr>
          <w:noProof/>
        </w:rPr>
        <w:drawing>
          <wp:anchor distT="0" distB="0" distL="114300" distR="114300" simplePos="0" relativeHeight="251663360" behindDoc="0" locked="0" layoutInCell="1" allowOverlap="1" wp14:anchorId="756C8CAD" wp14:editId="5C4B342B">
            <wp:simplePos x="0" y="0"/>
            <wp:positionH relativeFrom="page">
              <wp:posOffset>150064</wp:posOffset>
            </wp:positionH>
            <wp:positionV relativeFrom="paragraph">
              <wp:posOffset>25</wp:posOffset>
            </wp:positionV>
            <wp:extent cx="6978650" cy="4512945"/>
            <wp:effectExtent l="0" t="0" r="0" b="1905"/>
            <wp:wrapTopAndBottom/>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Map&#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978650" cy="4512945"/>
                    </a:xfrm>
                    <a:prstGeom prst="rect">
                      <a:avLst/>
                    </a:prstGeom>
                    <a:noFill/>
                    <a:ln>
                      <a:noFill/>
                    </a:ln>
                  </pic:spPr>
                </pic:pic>
              </a:graphicData>
            </a:graphic>
          </wp:anchor>
        </w:drawing>
      </w:r>
    </w:p>
    <w:p w14:paraId="3625C308" w14:textId="77777777" w:rsidR="009340FA" w:rsidRDefault="009340FA" w:rsidP="00CA14C4"/>
    <w:p w14:paraId="6721A2A0" w14:textId="77777777" w:rsidR="009340FA" w:rsidRDefault="009340FA" w:rsidP="00CA14C4"/>
    <w:p w14:paraId="1DA40ED9" w14:textId="77777777" w:rsidR="009340FA" w:rsidRDefault="009340FA" w:rsidP="00CA14C4"/>
    <w:p w14:paraId="0B730AE7" w14:textId="77777777" w:rsidR="009340FA" w:rsidRDefault="009340FA" w:rsidP="00CA14C4"/>
    <w:p w14:paraId="64602BD8" w14:textId="77777777" w:rsidR="009340FA" w:rsidRDefault="009340FA" w:rsidP="00CA14C4"/>
    <w:p w14:paraId="15A67CE8" w14:textId="77777777" w:rsidR="009340FA" w:rsidRDefault="009340FA" w:rsidP="00CA14C4"/>
    <w:p w14:paraId="77E1D247" w14:textId="77777777" w:rsidR="009340FA" w:rsidRDefault="009340FA" w:rsidP="00CA14C4"/>
    <w:p w14:paraId="7B925E89" w14:textId="77777777" w:rsidR="009340FA" w:rsidRDefault="009340FA" w:rsidP="00CA14C4"/>
    <w:p w14:paraId="269F67EF" w14:textId="77777777" w:rsidR="009340FA" w:rsidRDefault="009340FA" w:rsidP="00CA14C4"/>
    <w:p w14:paraId="0E182565" w14:textId="77777777" w:rsidR="009340FA" w:rsidRDefault="009340FA" w:rsidP="00CA14C4"/>
    <w:p w14:paraId="139F00CA" w14:textId="77777777" w:rsidR="009340FA" w:rsidRDefault="009340FA" w:rsidP="00CA14C4"/>
    <w:p w14:paraId="27736A72" w14:textId="77777777" w:rsidR="009340FA" w:rsidRDefault="009340FA" w:rsidP="00CA14C4"/>
    <w:p w14:paraId="29EF0C32" w14:textId="77777777" w:rsidR="009340FA" w:rsidRDefault="009340FA" w:rsidP="00CA14C4"/>
    <w:p w14:paraId="4E75B0EE" w14:textId="77777777" w:rsidR="009340FA" w:rsidRDefault="009340FA" w:rsidP="00CA14C4"/>
    <w:p w14:paraId="7C3764AF" w14:textId="77777777" w:rsidR="009340FA" w:rsidRDefault="009340FA" w:rsidP="00CA14C4"/>
    <w:p w14:paraId="54377158" w14:textId="77777777" w:rsidR="009340FA" w:rsidRDefault="009340FA" w:rsidP="00CA14C4"/>
    <w:p w14:paraId="313EAE98" w14:textId="77777777" w:rsidR="009340FA" w:rsidRDefault="009340FA" w:rsidP="00CA14C4"/>
    <w:p w14:paraId="62E6EAFB" w14:textId="5B4FE05F" w:rsidR="00B057CD" w:rsidRPr="00CA14C4" w:rsidRDefault="00B057CD" w:rsidP="00CA14C4">
      <w:r>
        <w:lastRenderedPageBreak/>
        <w:t>Exhibit C</w:t>
      </w:r>
      <w:r w:rsidR="0005776F">
        <w:rPr>
          <w:noProof/>
        </w:rPr>
        <w:drawing>
          <wp:anchor distT="0" distB="0" distL="114300" distR="114300" simplePos="0" relativeHeight="251666432" behindDoc="0" locked="0" layoutInCell="1" allowOverlap="1" wp14:anchorId="206B0F3D" wp14:editId="07E763E6">
            <wp:simplePos x="0" y="0"/>
            <wp:positionH relativeFrom="margin">
              <wp:align>left</wp:align>
            </wp:positionH>
            <wp:positionV relativeFrom="paragraph">
              <wp:posOffset>327660</wp:posOffset>
            </wp:positionV>
            <wp:extent cx="5731510" cy="7665085"/>
            <wp:effectExtent l="0" t="0" r="2540" b="0"/>
            <wp:wrapTopAndBottom/>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7665085"/>
                    </a:xfrm>
                    <a:prstGeom prst="rect">
                      <a:avLst/>
                    </a:prstGeom>
                  </pic:spPr>
                </pic:pic>
              </a:graphicData>
            </a:graphic>
            <wp14:sizeRelV relativeFrom="margin">
              <wp14:pctHeight>0</wp14:pctHeight>
            </wp14:sizeRelV>
          </wp:anchor>
        </w:drawing>
      </w:r>
    </w:p>
    <w:p w14:paraId="50EF88F1" w14:textId="77777777" w:rsidR="00E56E77" w:rsidRDefault="00E56E77" w:rsidP="00CA14C4"/>
    <w:p w14:paraId="1A5184CA" w14:textId="77777777" w:rsidR="00E56E77" w:rsidRDefault="00E56E77" w:rsidP="00CA14C4"/>
    <w:p w14:paraId="317E4988" w14:textId="77777777" w:rsidR="00E56E77" w:rsidRDefault="00E56E77" w:rsidP="00CA14C4"/>
    <w:p w14:paraId="721CB7E5" w14:textId="77777777" w:rsidR="00E56E77" w:rsidRDefault="00E56E77" w:rsidP="00CA14C4"/>
    <w:p w14:paraId="54528360" w14:textId="77777777" w:rsidR="00E56E77" w:rsidRDefault="00E56E77" w:rsidP="00CA14C4"/>
    <w:p w14:paraId="5034EFCA" w14:textId="52C7C161" w:rsidR="00EC545A" w:rsidRDefault="00C344A6" w:rsidP="00CA14C4">
      <w:r>
        <w:lastRenderedPageBreak/>
        <w:t>Exhi</w:t>
      </w:r>
      <w:r w:rsidR="00EC545A">
        <w:t>bit D</w:t>
      </w:r>
    </w:p>
    <w:p w14:paraId="2066BFD8" w14:textId="7AFB5498" w:rsidR="00AE25C5" w:rsidRDefault="00AE25C5" w:rsidP="00CA14C4">
      <w:r>
        <w:rPr>
          <w:noProof/>
        </w:rPr>
        <w:drawing>
          <wp:inline distT="0" distB="0" distL="0" distR="0" wp14:anchorId="16E9559D" wp14:editId="305AE459">
            <wp:extent cx="5731510" cy="7906385"/>
            <wp:effectExtent l="0" t="0" r="2540"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7906385"/>
                    </a:xfrm>
                    <a:prstGeom prst="rect">
                      <a:avLst/>
                    </a:prstGeom>
                  </pic:spPr>
                </pic:pic>
              </a:graphicData>
            </a:graphic>
          </wp:inline>
        </w:drawing>
      </w:r>
    </w:p>
    <w:p w14:paraId="4851D56E" w14:textId="77777777" w:rsidR="007B45A1" w:rsidRDefault="007B45A1" w:rsidP="00CA14C4"/>
    <w:p w14:paraId="6D5463BF" w14:textId="77777777" w:rsidR="007B45A1" w:rsidRDefault="007B45A1" w:rsidP="00CA14C4"/>
    <w:p w14:paraId="24639C93" w14:textId="77777777" w:rsidR="007B45A1" w:rsidRDefault="007B45A1" w:rsidP="00CA14C4"/>
    <w:p w14:paraId="3771640C" w14:textId="77777777" w:rsidR="007B45A1" w:rsidRDefault="007B45A1" w:rsidP="00CA14C4"/>
    <w:p w14:paraId="039449E2" w14:textId="20EAEE74" w:rsidR="007B45A1" w:rsidRDefault="007B45A1" w:rsidP="00CA14C4">
      <w:r>
        <w:lastRenderedPageBreak/>
        <w:t xml:space="preserve">Exhibit </w:t>
      </w:r>
      <w:r w:rsidR="00493FCF">
        <w:t>E</w:t>
      </w:r>
    </w:p>
    <w:p w14:paraId="339DCA47" w14:textId="2B664E55" w:rsidR="007B45A1" w:rsidRDefault="007B45A1" w:rsidP="00CA14C4">
      <w:r>
        <w:rPr>
          <w:noProof/>
        </w:rPr>
        <w:drawing>
          <wp:inline distT="0" distB="0" distL="0" distR="0" wp14:anchorId="0ED7EDEC" wp14:editId="5DDA74E6">
            <wp:extent cx="5731510" cy="7990840"/>
            <wp:effectExtent l="0" t="0" r="2540" b="0"/>
            <wp:docPr id="5" name="Picture 5"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 lette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7990840"/>
                    </a:xfrm>
                    <a:prstGeom prst="rect">
                      <a:avLst/>
                    </a:prstGeom>
                  </pic:spPr>
                </pic:pic>
              </a:graphicData>
            </a:graphic>
          </wp:inline>
        </w:drawing>
      </w:r>
    </w:p>
    <w:p w14:paraId="221FFD62" w14:textId="77777777" w:rsidR="007B45A1" w:rsidRDefault="007B45A1" w:rsidP="00CA14C4"/>
    <w:p w14:paraId="36462C48" w14:textId="6AE30411" w:rsidR="00CA14C4" w:rsidRDefault="00CA14C4" w:rsidP="00CA14C4">
      <w:r>
        <w:t>More Exhib</w:t>
      </w:r>
      <w:r w:rsidR="00826E6F">
        <w:t>its here</w:t>
      </w:r>
    </w:p>
    <w:p w14:paraId="33347670" w14:textId="3007C517" w:rsidR="00F84461" w:rsidRDefault="00F84461" w:rsidP="00CA14C4"/>
    <w:p w14:paraId="036E2B70" w14:textId="34851745" w:rsidR="00353F5B" w:rsidRDefault="00353F5B" w:rsidP="00CA14C4"/>
    <w:p w14:paraId="70DA72A7" w14:textId="2383F709" w:rsidR="00353F5B" w:rsidRDefault="00353F5B" w:rsidP="00CA14C4"/>
    <w:p w14:paraId="32F1A296" w14:textId="6EC8F0E1" w:rsidR="00D464BA" w:rsidRDefault="004A7740" w:rsidP="00CA14C4">
      <w:r>
        <w:t xml:space="preserve">Ignore this, as cut from </w:t>
      </w:r>
      <w:r w:rsidR="006D7273">
        <w:t xml:space="preserve">document. Here in case of </w:t>
      </w:r>
      <w:proofErr w:type="spellStart"/>
      <w:r w:rsidR="006D7273">
        <w:t>repaste</w:t>
      </w:r>
      <w:proofErr w:type="spellEnd"/>
      <w:r w:rsidR="006D7273">
        <w:t>.</w:t>
      </w:r>
    </w:p>
    <w:p w14:paraId="29A28C95" w14:textId="77777777" w:rsidR="00C873F4" w:rsidRDefault="00C873F4" w:rsidP="00C873F4">
      <w:pPr>
        <w:pStyle w:val="ListParagraph"/>
        <w:numPr>
          <w:ilvl w:val="0"/>
          <w:numId w:val="3"/>
        </w:numPr>
        <w:tabs>
          <w:tab w:val="left" w:pos="1408"/>
        </w:tabs>
        <w:spacing w:line="276" w:lineRule="auto"/>
        <w:ind w:right="1092"/>
        <w:rPr>
          <w:rFonts w:ascii="Calibri" w:hAnsi="Calibri"/>
        </w:rPr>
      </w:pPr>
      <w:r>
        <w:rPr>
          <w:rFonts w:ascii="Helvetica" w:hAnsi="Helvetica" w:cs="Helvetica"/>
          <w:b/>
          <w:bCs/>
          <w:color w:val="333333"/>
          <w:sz w:val="21"/>
          <w:szCs w:val="21"/>
          <w:shd w:val="clear" w:color="auto" w:fill="FFFFFF"/>
        </w:rPr>
        <w:t>No evidence of Landowner Authority - the operator is put to strict proof of full compliance with the BPA Code of Practice</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As this operator does not have proprietary interest in the land then I require that they produce an unredacted copy of the contract with the landowner.</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The contract and any 'site agreement' or 'User Manual' setting out details - such as any 'genuine customer' or 'genuine resident' exemptions or any site occupier's 'right of veto' charge cancellation rights, and of course all enforcement dates/times/days, </w:t>
      </w:r>
      <w:r>
        <w:rPr>
          <w:rFonts w:ascii="Helvetica" w:hAnsi="Helvetica" w:cs="Helvetica"/>
          <w:color w:val="333333"/>
          <w:sz w:val="21"/>
          <w:szCs w:val="21"/>
          <w:u w:val="single"/>
          <w:shd w:val="clear" w:color="auto" w:fill="FFFFFF"/>
        </w:rPr>
        <w:t>and</w:t>
      </w:r>
      <w:r>
        <w:rPr>
          <w:rFonts w:ascii="Helvetica" w:hAnsi="Helvetica" w:cs="Helvetica"/>
          <w:color w:val="333333"/>
          <w:sz w:val="21"/>
          <w:szCs w:val="21"/>
          <w:shd w:val="clear" w:color="auto" w:fill="FFFFFF"/>
        </w:rPr>
        <w:t> the boundary of the site - is key evidence to define what this operator is authorised to do, and when/where.</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It cannot be assumed, just because an agent is contracted to merely put some signs up and issue Parking Charge Notices, that the agent is authorised on the material date, to make contracts with all or any category of visiting drivers and/or to enforce the charge in court in their own name (legal action regarding land use disputes generally being a matter for a landowner only).</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Witness statements are not sound evidence of the above, often being pre-signed, generic documents not even identifying the case in hand or even the site rules. A witness statement might in some cases be accepted by POPLA but in this case I suggest it is unlikely to sufficiently evidence the definition of the services provided by each party to the agreement.</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Nor would it define vital information such as charging days/times, any exemption clauses, grace periods (which I believe may be longer than the bare minimum times set out in the BPA CoP) and basic but crucial information such as the site boundary and any bays where enforcement applies/does not apply. Not forgetting evidence of the only restrictions which the landowner has authorised can give rise to a charge, as well as the date that the parking contract began, and when it runs to, or whether it runs in perpetuity, and of course, who the signatories are: name/job title/employer company, and whether they are authorised by the landowner to sign a binding legal agreement.</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Paragraph 7 of the BPA CoP defines the mandatory requirements and I put this operator to strict proof of full compliance:</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7.2 If the operator wishes to take legal action on any outstanding parking charges, they must ensure that they have the written authority of the landowner (or their appointed agent) prior to legal action being taken.</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7.3 The written authorisation must also set out:</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a the definition of the land on which you may operate, so that the boundaries of the land can be clearly defined</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lastRenderedPageBreak/>
        <w:t>b any conditions or restrictions on parking control and enforcement operations, including any restrictions on hours of operation</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c any conditions or restrictions on the types of vehicles that may, or may not, be subject to parking control and enforcement</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d who has the responsibility for putting up and maintaining signs</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e the definition of the services provided by each party to the agreement</w:t>
      </w:r>
    </w:p>
    <w:p w14:paraId="3255106B" w14:textId="1F46EDF7" w:rsidR="003477F5" w:rsidRPr="00CA14C4" w:rsidRDefault="003477F5" w:rsidP="00CA14C4"/>
    <w:sectPr w:rsidR="003477F5" w:rsidRPr="00CA14C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5F6EC3" w14:textId="77777777" w:rsidR="003D1533" w:rsidRDefault="003D1533" w:rsidP="0044407F">
      <w:r>
        <w:separator/>
      </w:r>
    </w:p>
  </w:endnote>
  <w:endnote w:type="continuationSeparator" w:id="0">
    <w:p w14:paraId="05AF95E2" w14:textId="77777777" w:rsidR="003D1533" w:rsidRDefault="003D1533" w:rsidP="00444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AB154A" w14:textId="77777777" w:rsidR="00DB5D5A" w:rsidRDefault="00DB5D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81F091" w14:textId="0FD2AE91" w:rsidR="00DB5D5A" w:rsidRDefault="00347343">
    <w:pPr>
      <w:pStyle w:val="Footer"/>
    </w:pPr>
    <w:r>
      <w:rPr>
        <w:noProof/>
        <w:color w:val="4472C4" w:themeColor="accent1"/>
      </w:rPr>
      <mc:AlternateContent>
        <mc:Choice Requires="wps">
          <w:drawing>
            <wp:anchor distT="0" distB="0" distL="114300" distR="114300" simplePos="0" relativeHeight="251659264" behindDoc="0" locked="0" layoutInCell="1" allowOverlap="1" wp14:anchorId="207F9804" wp14:editId="59F792CA">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419206A0"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asciiTheme="minorHAnsi" w:eastAsiaTheme="minorEastAsia" w:hAnsiTheme="minorHAnsi" w:cstheme="minorBidi"/>
        <w:color w:val="4472C4" w:themeColor="accent1"/>
        <w:sz w:val="20"/>
        <w:szCs w:val="20"/>
      </w:rPr>
      <w:fldChar w:fldCharType="begin"/>
    </w:r>
    <w:r>
      <w:rPr>
        <w:color w:val="4472C4" w:themeColor="accent1"/>
        <w:sz w:val="20"/>
        <w:szCs w:val="20"/>
      </w:rPr>
      <w:instrText xml:space="preserve"> PAGE    \* MERGEFORMAT </w:instrText>
    </w:r>
    <w:r>
      <w:rPr>
        <w:rFonts w:asciiTheme="minorHAnsi" w:eastAsiaTheme="minorEastAsia" w:hAnsiTheme="minorHAnsi" w:cstheme="minorBidi"/>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3E2533" w14:textId="77777777" w:rsidR="00DB5D5A" w:rsidRDefault="00DB5D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45373E" w14:textId="77777777" w:rsidR="003D1533" w:rsidRDefault="003D1533" w:rsidP="0044407F">
      <w:r>
        <w:separator/>
      </w:r>
    </w:p>
  </w:footnote>
  <w:footnote w:type="continuationSeparator" w:id="0">
    <w:p w14:paraId="77C69289" w14:textId="77777777" w:rsidR="003D1533" w:rsidRDefault="003D1533" w:rsidP="004440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2C1045" w14:textId="77777777" w:rsidR="00DB5D5A" w:rsidRDefault="00DB5D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DBDFA3" w14:textId="060749AC" w:rsidR="00DB5D5A" w:rsidRDefault="002F5CDB">
    <w:pPr>
      <w:pStyle w:val="Header"/>
    </w:pPr>
    <w:r>
      <w:t xml:space="preserve">Claim Number </w:t>
    </w:r>
    <w:proofErr w:type="spellStart"/>
    <w:r>
      <w:t>xxxxx</w:t>
    </w:r>
    <w:r w:rsidR="00655F80">
      <w:t>x</w:t>
    </w:r>
    <w:r>
      <w:t>x</w:t>
    </w:r>
    <w:proofErr w:type="spellEnd"/>
    <w:r>
      <w:ptab w:relativeTo="margin" w:alignment="center" w:leader="none"/>
    </w:r>
    <w:r>
      <w:t xml:space="preserve">MR XXXXXX </w:t>
    </w:r>
    <w:proofErr w:type="spellStart"/>
    <w:r>
      <w:t>XXXXXX</w:t>
    </w:r>
    <w:proofErr w:type="spellEnd"/>
    <w:r>
      <w:t xml:space="preserve"> v </w:t>
    </w:r>
    <w:r w:rsidR="00055C63">
      <w:t>UKCPM</w:t>
    </w:r>
    <w:r>
      <w:ptab w:relativeTo="margin" w:alignment="right" w:leader="none"/>
    </w:r>
    <w:r w:rsidR="00BD6BDE">
      <w:t>Hearing Date 23/02/2021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5D5E6" w14:textId="77777777" w:rsidR="00DB5D5A" w:rsidRDefault="00DB5D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555BFE"/>
    <w:multiLevelType w:val="hybridMultilevel"/>
    <w:tmpl w:val="C42209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81175D"/>
    <w:multiLevelType w:val="hybridMultilevel"/>
    <w:tmpl w:val="D0B068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2184AB8"/>
    <w:multiLevelType w:val="hybridMultilevel"/>
    <w:tmpl w:val="70C0F3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1F2378"/>
    <w:multiLevelType w:val="hybridMultilevel"/>
    <w:tmpl w:val="4BA672D8"/>
    <w:lvl w:ilvl="0" w:tplc="08090001">
      <w:start w:val="1"/>
      <w:numFmt w:val="bullet"/>
      <w:lvlText w:val=""/>
      <w:lvlJc w:val="left"/>
      <w:pPr>
        <w:ind w:left="1407" w:hanging="428"/>
      </w:pPr>
      <w:rPr>
        <w:rFonts w:ascii="Symbol" w:hAnsi="Symbol" w:hint="default"/>
        <w:w w:val="100"/>
        <w:lang w:val="en-GB" w:eastAsia="en-GB" w:bidi="en-GB"/>
      </w:rPr>
    </w:lvl>
    <w:lvl w:ilvl="1" w:tplc="95E602EA">
      <w:numFmt w:val="bullet"/>
      <w:lvlText w:val="•"/>
      <w:lvlJc w:val="left"/>
      <w:pPr>
        <w:ind w:left="2358" w:hanging="428"/>
      </w:pPr>
      <w:rPr>
        <w:lang w:val="en-GB" w:eastAsia="en-GB" w:bidi="en-GB"/>
      </w:rPr>
    </w:lvl>
    <w:lvl w:ilvl="2" w:tplc="2D986416">
      <w:numFmt w:val="bullet"/>
      <w:lvlText w:val="•"/>
      <w:lvlJc w:val="left"/>
      <w:pPr>
        <w:ind w:left="3317" w:hanging="428"/>
      </w:pPr>
      <w:rPr>
        <w:lang w:val="en-GB" w:eastAsia="en-GB" w:bidi="en-GB"/>
      </w:rPr>
    </w:lvl>
    <w:lvl w:ilvl="3" w:tplc="18222A64">
      <w:numFmt w:val="bullet"/>
      <w:lvlText w:val="•"/>
      <w:lvlJc w:val="left"/>
      <w:pPr>
        <w:ind w:left="4275" w:hanging="428"/>
      </w:pPr>
      <w:rPr>
        <w:lang w:val="en-GB" w:eastAsia="en-GB" w:bidi="en-GB"/>
      </w:rPr>
    </w:lvl>
    <w:lvl w:ilvl="4" w:tplc="93627E9C">
      <w:numFmt w:val="bullet"/>
      <w:lvlText w:val="•"/>
      <w:lvlJc w:val="left"/>
      <w:pPr>
        <w:ind w:left="5234" w:hanging="428"/>
      </w:pPr>
      <w:rPr>
        <w:lang w:val="en-GB" w:eastAsia="en-GB" w:bidi="en-GB"/>
      </w:rPr>
    </w:lvl>
    <w:lvl w:ilvl="5" w:tplc="98EE71DE">
      <w:numFmt w:val="bullet"/>
      <w:lvlText w:val="•"/>
      <w:lvlJc w:val="left"/>
      <w:pPr>
        <w:ind w:left="6193" w:hanging="428"/>
      </w:pPr>
      <w:rPr>
        <w:lang w:val="en-GB" w:eastAsia="en-GB" w:bidi="en-GB"/>
      </w:rPr>
    </w:lvl>
    <w:lvl w:ilvl="6" w:tplc="C6449652">
      <w:numFmt w:val="bullet"/>
      <w:lvlText w:val="•"/>
      <w:lvlJc w:val="left"/>
      <w:pPr>
        <w:ind w:left="7151" w:hanging="428"/>
      </w:pPr>
      <w:rPr>
        <w:lang w:val="en-GB" w:eastAsia="en-GB" w:bidi="en-GB"/>
      </w:rPr>
    </w:lvl>
    <w:lvl w:ilvl="7" w:tplc="3F0E8E42">
      <w:numFmt w:val="bullet"/>
      <w:lvlText w:val="•"/>
      <w:lvlJc w:val="left"/>
      <w:pPr>
        <w:ind w:left="8110" w:hanging="428"/>
      </w:pPr>
      <w:rPr>
        <w:lang w:val="en-GB" w:eastAsia="en-GB" w:bidi="en-GB"/>
      </w:rPr>
    </w:lvl>
    <w:lvl w:ilvl="8" w:tplc="F454CE6A">
      <w:numFmt w:val="bullet"/>
      <w:lvlText w:val="•"/>
      <w:lvlJc w:val="left"/>
      <w:pPr>
        <w:ind w:left="9069" w:hanging="428"/>
      </w:pPr>
      <w:rPr>
        <w:lang w:val="en-GB" w:eastAsia="en-GB" w:bidi="en-GB"/>
      </w:rPr>
    </w:lvl>
  </w:abstractNum>
  <w:num w:numId="1">
    <w:abstractNumId w:val="3"/>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35E"/>
    <w:rsid w:val="00017B61"/>
    <w:rsid w:val="00055C63"/>
    <w:rsid w:val="0005776F"/>
    <w:rsid w:val="00061031"/>
    <w:rsid w:val="00074E56"/>
    <w:rsid w:val="000976AA"/>
    <w:rsid w:val="000A176E"/>
    <w:rsid w:val="000A6392"/>
    <w:rsid w:val="000D3146"/>
    <w:rsid w:val="000F70B7"/>
    <w:rsid w:val="0012343A"/>
    <w:rsid w:val="00134D08"/>
    <w:rsid w:val="00141068"/>
    <w:rsid w:val="00146779"/>
    <w:rsid w:val="00164722"/>
    <w:rsid w:val="001A5884"/>
    <w:rsid w:val="001E4FAA"/>
    <w:rsid w:val="00231662"/>
    <w:rsid w:val="00262296"/>
    <w:rsid w:val="002D7C7D"/>
    <w:rsid w:val="002F5CDB"/>
    <w:rsid w:val="0034517C"/>
    <w:rsid w:val="00347343"/>
    <w:rsid w:val="003477F5"/>
    <w:rsid w:val="00353F5B"/>
    <w:rsid w:val="003B152E"/>
    <w:rsid w:val="003D1533"/>
    <w:rsid w:val="003F240B"/>
    <w:rsid w:val="00401E13"/>
    <w:rsid w:val="00411AF6"/>
    <w:rsid w:val="004345FA"/>
    <w:rsid w:val="004400EB"/>
    <w:rsid w:val="0044407F"/>
    <w:rsid w:val="00475605"/>
    <w:rsid w:val="00477101"/>
    <w:rsid w:val="00493FCF"/>
    <w:rsid w:val="004A7740"/>
    <w:rsid w:val="004F771C"/>
    <w:rsid w:val="00500D19"/>
    <w:rsid w:val="00520F41"/>
    <w:rsid w:val="005E1FC9"/>
    <w:rsid w:val="00612199"/>
    <w:rsid w:val="00612908"/>
    <w:rsid w:val="00641634"/>
    <w:rsid w:val="0065455E"/>
    <w:rsid w:val="00655F80"/>
    <w:rsid w:val="00685B2F"/>
    <w:rsid w:val="006A4727"/>
    <w:rsid w:val="006A5894"/>
    <w:rsid w:val="006D7273"/>
    <w:rsid w:val="006F6FDE"/>
    <w:rsid w:val="007601E0"/>
    <w:rsid w:val="00772AF9"/>
    <w:rsid w:val="007B45A1"/>
    <w:rsid w:val="007F261B"/>
    <w:rsid w:val="00826E6F"/>
    <w:rsid w:val="00836600"/>
    <w:rsid w:val="00843BD1"/>
    <w:rsid w:val="008B3D08"/>
    <w:rsid w:val="008C3468"/>
    <w:rsid w:val="008E2A5A"/>
    <w:rsid w:val="00926536"/>
    <w:rsid w:val="009340FA"/>
    <w:rsid w:val="0093756F"/>
    <w:rsid w:val="00981458"/>
    <w:rsid w:val="009B5CD5"/>
    <w:rsid w:val="009F3F0F"/>
    <w:rsid w:val="00A502AD"/>
    <w:rsid w:val="00AE25C5"/>
    <w:rsid w:val="00AF2B4B"/>
    <w:rsid w:val="00AF39CD"/>
    <w:rsid w:val="00AF3BBD"/>
    <w:rsid w:val="00B057CD"/>
    <w:rsid w:val="00B3287D"/>
    <w:rsid w:val="00B345B5"/>
    <w:rsid w:val="00BC11A0"/>
    <w:rsid w:val="00BD6BDE"/>
    <w:rsid w:val="00BE0311"/>
    <w:rsid w:val="00C039A1"/>
    <w:rsid w:val="00C344A6"/>
    <w:rsid w:val="00C873F4"/>
    <w:rsid w:val="00CA14C4"/>
    <w:rsid w:val="00CD1D19"/>
    <w:rsid w:val="00CF66FA"/>
    <w:rsid w:val="00D464BA"/>
    <w:rsid w:val="00D8743E"/>
    <w:rsid w:val="00DB135F"/>
    <w:rsid w:val="00DB5D5A"/>
    <w:rsid w:val="00DF7793"/>
    <w:rsid w:val="00E56E77"/>
    <w:rsid w:val="00E67F67"/>
    <w:rsid w:val="00E8335E"/>
    <w:rsid w:val="00EA74CE"/>
    <w:rsid w:val="00EC545A"/>
    <w:rsid w:val="00F8081C"/>
    <w:rsid w:val="00F844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75FA0D"/>
  <w15:chartTrackingRefBased/>
  <w15:docId w15:val="{4244F005-E70A-4AF9-A26F-58B81DC89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35E"/>
    <w:pPr>
      <w:widowControl w:val="0"/>
      <w:autoSpaceDE w:val="0"/>
      <w:autoSpaceDN w:val="0"/>
      <w:spacing w:after="0" w:line="240" w:lineRule="auto"/>
    </w:pPr>
    <w:rPr>
      <w:rFonts w:ascii="Calibri" w:eastAsia="Calibri" w:hAnsi="Calibri" w:cs="Calibri"/>
      <w:lang w:eastAsia="en-GB" w:bidi="en-GB"/>
    </w:rPr>
  </w:style>
  <w:style w:type="paragraph" w:styleId="Heading1">
    <w:name w:val="heading 1"/>
    <w:basedOn w:val="Normal"/>
    <w:link w:val="Heading1Char"/>
    <w:uiPriority w:val="9"/>
    <w:qFormat/>
    <w:rsid w:val="00E8335E"/>
    <w:pPr>
      <w:ind w:left="98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335E"/>
    <w:rPr>
      <w:rFonts w:ascii="Calibri" w:eastAsia="Calibri" w:hAnsi="Calibri" w:cs="Calibri"/>
      <w:b/>
      <w:bCs/>
      <w:sz w:val="24"/>
      <w:szCs w:val="24"/>
      <w:lang w:eastAsia="en-GB" w:bidi="en-GB"/>
    </w:rPr>
  </w:style>
  <w:style w:type="paragraph" w:styleId="BodyText">
    <w:name w:val="Body Text"/>
    <w:basedOn w:val="Normal"/>
    <w:link w:val="BodyTextChar"/>
    <w:uiPriority w:val="1"/>
    <w:semiHidden/>
    <w:unhideWhenUsed/>
    <w:qFormat/>
    <w:rsid w:val="00E8335E"/>
  </w:style>
  <w:style w:type="character" w:customStyle="1" w:styleId="BodyTextChar">
    <w:name w:val="Body Text Char"/>
    <w:basedOn w:val="DefaultParagraphFont"/>
    <w:link w:val="BodyText"/>
    <w:uiPriority w:val="1"/>
    <w:semiHidden/>
    <w:rsid w:val="00E8335E"/>
    <w:rPr>
      <w:rFonts w:ascii="Calibri" w:eastAsia="Calibri" w:hAnsi="Calibri" w:cs="Calibri"/>
      <w:lang w:eastAsia="en-GB" w:bidi="en-GB"/>
    </w:rPr>
  </w:style>
  <w:style w:type="paragraph" w:styleId="ListParagraph">
    <w:name w:val="List Paragraph"/>
    <w:basedOn w:val="Normal"/>
    <w:uiPriority w:val="1"/>
    <w:qFormat/>
    <w:rsid w:val="00E8335E"/>
    <w:pPr>
      <w:ind w:left="1407" w:hanging="428"/>
    </w:pPr>
    <w:rPr>
      <w:rFonts w:ascii="Times New Roman" w:eastAsia="Times New Roman" w:hAnsi="Times New Roman" w:cs="Times New Roman"/>
    </w:rPr>
  </w:style>
  <w:style w:type="character" w:styleId="Hyperlink">
    <w:name w:val="Hyperlink"/>
    <w:basedOn w:val="DefaultParagraphFont"/>
    <w:uiPriority w:val="99"/>
    <w:semiHidden/>
    <w:unhideWhenUsed/>
    <w:rsid w:val="00E8335E"/>
    <w:rPr>
      <w:color w:val="0000FF"/>
      <w:u w:val="single"/>
    </w:rPr>
  </w:style>
  <w:style w:type="paragraph" w:styleId="Header">
    <w:name w:val="header"/>
    <w:basedOn w:val="Normal"/>
    <w:link w:val="HeaderChar"/>
    <w:uiPriority w:val="99"/>
    <w:unhideWhenUsed/>
    <w:rsid w:val="0044407F"/>
    <w:pPr>
      <w:tabs>
        <w:tab w:val="center" w:pos="4513"/>
        <w:tab w:val="right" w:pos="9026"/>
      </w:tabs>
    </w:pPr>
  </w:style>
  <w:style w:type="character" w:customStyle="1" w:styleId="HeaderChar">
    <w:name w:val="Header Char"/>
    <w:basedOn w:val="DefaultParagraphFont"/>
    <w:link w:val="Header"/>
    <w:uiPriority w:val="99"/>
    <w:rsid w:val="0044407F"/>
    <w:rPr>
      <w:rFonts w:ascii="Calibri" w:eastAsia="Calibri" w:hAnsi="Calibri" w:cs="Calibri"/>
      <w:lang w:eastAsia="en-GB" w:bidi="en-GB"/>
    </w:rPr>
  </w:style>
  <w:style w:type="paragraph" w:styleId="Footer">
    <w:name w:val="footer"/>
    <w:basedOn w:val="Normal"/>
    <w:link w:val="FooterChar"/>
    <w:uiPriority w:val="99"/>
    <w:unhideWhenUsed/>
    <w:rsid w:val="0044407F"/>
    <w:pPr>
      <w:tabs>
        <w:tab w:val="center" w:pos="4513"/>
        <w:tab w:val="right" w:pos="9026"/>
      </w:tabs>
    </w:pPr>
  </w:style>
  <w:style w:type="character" w:customStyle="1" w:styleId="FooterChar">
    <w:name w:val="Footer Char"/>
    <w:basedOn w:val="DefaultParagraphFont"/>
    <w:link w:val="Footer"/>
    <w:uiPriority w:val="99"/>
    <w:rsid w:val="0044407F"/>
    <w:rPr>
      <w:rFonts w:ascii="Calibri" w:eastAsia="Calibri" w:hAnsi="Calibri" w:cs="Calibri"/>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655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jpeg"/><Relationship Id="rId10" Type="http://schemas.openxmlformats.org/officeDocument/2006/relationships/footer" Target="footer1.xm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bailii.org/ew/cases/EWHC/QB/2011/402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8CB3ED-46B0-4FBE-810B-FE0AD511D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14</Pages>
  <Words>2131</Words>
  <Characters>12147</Characters>
  <Application>Microsoft Office Word</Application>
  <DocSecurity>0</DocSecurity>
  <Lines>101</Lines>
  <Paragraphs>28</Paragraphs>
  <ScaleCrop>false</ScaleCrop>
  <Company/>
  <LinksUpToDate>false</LinksUpToDate>
  <CharactersWithSpaces>14250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Moore</dc:creator>
  <cp:keywords/>
  <dc:description/>
  <cp:lastModifiedBy>Michael Moore</cp:lastModifiedBy>
  <cp:revision>75</cp:revision>
  <dcterms:created xsi:type="dcterms:W3CDTF">2021-01-09T19:33:00Z</dcterms:created>
  <dcterms:modified xsi:type="dcterms:W3CDTF">2021-01-11T14:21:00Z</dcterms:modified>
</cp:coreProperties>
</file>