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52B0" w14:textId="71223D60" w:rsidR="008F0DE2" w:rsidRDefault="005E1B88" w:rsidP="005B1004">
      <w:r>
        <w:t xml:space="preserve">In the County Court at </w:t>
      </w:r>
      <w:proofErr w:type="spellStart"/>
      <w:r w:rsidR="003509D3" w:rsidRPr="003509D3">
        <w:rPr>
          <w:b/>
          <w:bCs/>
        </w:rPr>
        <w:t>xxxxx</w:t>
      </w:r>
      <w:proofErr w:type="spellEnd"/>
    </w:p>
    <w:p w14:paraId="483FB622" w14:textId="7780C9F1" w:rsidR="005E1B88" w:rsidRDefault="005E1B88" w:rsidP="005B1004">
      <w:r>
        <w:t xml:space="preserve">Claim No. </w:t>
      </w:r>
      <w:proofErr w:type="spellStart"/>
      <w:r w:rsidR="003509D3" w:rsidRPr="003509D3">
        <w:rPr>
          <w:b/>
          <w:bCs/>
        </w:rPr>
        <w:t>xxxxxx</w:t>
      </w:r>
      <w:proofErr w:type="spellEnd"/>
    </w:p>
    <w:p w14:paraId="6B382A8B" w14:textId="191C3588" w:rsidR="005E1B88" w:rsidRDefault="005E1B88" w:rsidP="005B1004">
      <w:pPr>
        <w:jc w:val="center"/>
      </w:pPr>
      <w:r>
        <w:t>Between</w:t>
      </w:r>
    </w:p>
    <w:p w14:paraId="4A16AA8D" w14:textId="3E464152" w:rsidR="005E1B88" w:rsidRPr="003509D3" w:rsidRDefault="005B1004" w:rsidP="005B1004">
      <w:pPr>
        <w:jc w:val="center"/>
        <w:rPr>
          <w:b/>
          <w:bCs/>
        </w:rPr>
      </w:pPr>
      <w:proofErr w:type="spellStart"/>
      <w:r w:rsidRPr="003509D3">
        <w:rPr>
          <w:b/>
          <w:bCs/>
        </w:rPr>
        <w:t>X</w:t>
      </w:r>
      <w:r w:rsidR="003509D3" w:rsidRPr="003509D3">
        <w:rPr>
          <w:b/>
          <w:bCs/>
        </w:rPr>
        <w:t>xxxxxxx</w:t>
      </w:r>
      <w:proofErr w:type="spellEnd"/>
      <w:r>
        <w:rPr>
          <w:b/>
          <w:bCs/>
        </w:rPr>
        <w:t xml:space="preserve"> (Claimant)</w:t>
      </w:r>
    </w:p>
    <w:p w14:paraId="3D559E96" w14:textId="1B107FF6" w:rsidR="005E1B88" w:rsidRDefault="005E1B88" w:rsidP="005B1004">
      <w:pPr>
        <w:jc w:val="center"/>
      </w:pPr>
      <w:r>
        <w:t>And</w:t>
      </w:r>
    </w:p>
    <w:p w14:paraId="452B1CE9" w14:textId="2EF21629" w:rsidR="005E1B88" w:rsidRPr="003509D3" w:rsidRDefault="005B1004" w:rsidP="005B1004">
      <w:pPr>
        <w:jc w:val="center"/>
        <w:rPr>
          <w:b/>
          <w:bCs/>
        </w:rPr>
      </w:pPr>
      <w:proofErr w:type="spellStart"/>
      <w:r w:rsidRPr="003509D3">
        <w:rPr>
          <w:b/>
          <w:bCs/>
        </w:rPr>
        <w:t>X</w:t>
      </w:r>
      <w:r w:rsidR="005E1B88" w:rsidRPr="003509D3">
        <w:rPr>
          <w:b/>
          <w:bCs/>
        </w:rPr>
        <w:t>xxxx</w:t>
      </w:r>
      <w:proofErr w:type="spellEnd"/>
      <w:r>
        <w:rPr>
          <w:b/>
          <w:bCs/>
        </w:rPr>
        <w:t xml:space="preserve"> (Defendant)</w:t>
      </w:r>
    </w:p>
    <w:p w14:paraId="3CE4902D" w14:textId="6BFFCDD6" w:rsidR="005E1B88" w:rsidRDefault="005E1B88" w:rsidP="005B1004">
      <w:pPr>
        <w:jc w:val="center"/>
      </w:pPr>
    </w:p>
    <w:p w14:paraId="4F88755D" w14:textId="0824769A" w:rsidR="005E1B88" w:rsidRPr="005B1004" w:rsidRDefault="005E1B88" w:rsidP="005B1004">
      <w:pPr>
        <w:jc w:val="center"/>
        <w:rPr>
          <w:b/>
          <w:bCs/>
        </w:rPr>
      </w:pPr>
      <w:r w:rsidRPr="005B1004">
        <w:rPr>
          <w:b/>
          <w:bCs/>
        </w:rPr>
        <w:t>Witness Statement</w:t>
      </w:r>
      <w:r w:rsidR="005B1004" w:rsidRPr="005B1004">
        <w:rPr>
          <w:b/>
          <w:bCs/>
        </w:rPr>
        <w:t xml:space="preserve"> for Telephone Hearing on xx/xx/</w:t>
      </w:r>
      <w:proofErr w:type="spellStart"/>
      <w:r w:rsidR="005B1004" w:rsidRPr="005B1004">
        <w:rPr>
          <w:b/>
          <w:bCs/>
        </w:rPr>
        <w:t>xxxx</w:t>
      </w:r>
      <w:proofErr w:type="spellEnd"/>
    </w:p>
    <w:p w14:paraId="062EC2CA" w14:textId="4AF3781A" w:rsidR="005E1B88" w:rsidRDefault="005E1B88"/>
    <w:p w14:paraId="04F47332" w14:textId="76A02050" w:rsidR="00132277" w:rsidRDefault="005E1B88" w:rsidP="00132277">
      <w:pPr>
        <w:pStyle w:val="ListParagraph"/>
        <w:numPr>
          <w:ilvl w:val="0"/>
          <w:numId w:val="1"/>
        </w:numPr>
      </w:pPr>
      <w:r>
        <w:t xml:space="preserve">I am </w:t>
      </w:r>
      <w:r w:rsidRPr="005E1B88">
        <w:rPr>
          <w:b/>
          <w:bCs/>
        </w:rPr>
        <w:t xml:space="preserve">xxx </w:t>
      </w:r>
      <w:proofErr w:type="spellStart"/>
      <w:r w:rsidRPr="005E1B88">
        <w:rPr>
          <w:b/>
          <w:bCs/>
        </w:rPr>
        <w:t>xxx</w:t>
      </w:r>
      <w:proofErr w:type="spellEnd"/>
      <w:r>
        <w:t>, of [</w:t>
      </w:r>
      <w:r w:rsidRPr="005E1B88">
        <w:rPr>
          <w:b/>
          <w:bCs/>
        </w:rPr>
        <w:t>Address</w:t>
      </w:r>
      <w:r>
        <w:t>], [</w:t>
      </w:r>
      <w:r w:rsidRPr="005E1B88">
        <w:rPr>
          <w:b/>
          <w:bCs/>
        </w:rPr>
        <w:t>Postcode</w:t>
      </w:r>
      <w:r>
        <w:t xml:space="preserve">], the Defendant </w:t>
      </w:r>
      <w:r w:rsidR="005B1004" w:rsidRPr="005B1004">
        <w:t>against whom this claim is made</w:t>
      </w:r>
      <w:r>
        <w:t>. I will say as follows:</w:t>
      </w:r>
    </w:p>
    <w:p w14:paraId="780495C5" w14:textId="77777777" w:rsidR="00132277" w:rsidRDefault="00132277" w:rsidP="00132277">
      <w:pPr>
        <w:ind w:left="360"/>
      </w:pPr>
    </w:p>
    <w:p w14:paraId="3A0240D0" w14:textId="69E58332" w:rsidR="00132277" w:rsidRDefault="00132277" w:rsidP="00132277">
      <w:pPr>
        <w:pStyle w:val="ListParagraph"/>
        <w:numPr>
          <w:ilvl w:val="0"/>
          <w:numId w:val="1"/>
        </w:numPr>
      </w:pPr>
      <w:r>
        <w:t xml:space="preserve">My defence is repeated </w:t>
      </w:r>
      <w:r w:rsidR="00280E3B">
        <w:t>and I was the Driver of the vehicle at the time of the contravention alleged by the Claimant. However, I argue in this Witness Statement that there was no contract entered into between the Defendant and Claimant</w:t>
      </w:r>
      <w:r w:rsidR="001B017D">
        <w:t>.</w:t>
      </w:r>
    </w:p>
    <w:p w14:paraId="24E71465" w14:textId="77777777" w:rsidR="00DA4BF9" w:rsidRDefault="00DA4BF9" w:rsidP="00DA4BF9"/>
    <w:p w14:paraId="5D24DAAA" w14:textId="4E5618B7" w:rsidR="00DA4BF9" w:rsidRPr="00DA4BF9" w:rsidRDefault="00DA4BF9" w:rsidP="00DA4BF9">
      <w:pPr>
        <w:rPr>
          <w:b/>
          <w:bCs/>
          <w:u w:val="single"/>
        </w:rPr>
      </w:pPr>
      <w:r>
        <w:rPr>
          <w:b/>
          <w:bCs/>
          <w:u w:val="single"/>
        </w:rPr>
        <w:t>N</w:t>
      </w:r>
      <w:r w:rsidRPr="00DA4BF9">
        <w:rPr>
          <w:b/>
          <w:bCs/>
          <w:u w:val="single"/>
        </w:rPr>
        <w:t>o contract seen or agreed</w:t>
      </w:r>
    </w:p>
    <w:p w14:paraId="58E24F08" w14:textId="77777777" w:rsidR="001B017D" w:rsidRDefault="001B017D" w:rsidP="00DA4BF9">
      <w:pPr>
        <w:ind w:left="360"/>
      </w:pPr>
    </w:p>
    <w:p w14:paraId="331572CF" w14:textId="3B9E01FE" w:rsidR="001B017D" w:rsidRDefault="00DA4BF9" w:rsidP="00132277">
      <w:pPr>
        <w:pStyle w:val="ListParagraph"/>
        <w:numPr>
          <w:ilvl w:val="0"/>
          <w:numId w:val="1"/>
        </w:numPr>
      </w:pPr>
      <w:r>
        <w:t>T</w:t>
      </w:r>
      <w:r w:rsidR="001B017D">
        <w:t xml:space="preserve">here was insufficient signage </w:t>
      </w:r>
      <w:r w:rsidR="00F21080">
        <w:t>at the entrance to the site indicating the Claimant had enforced parking restrictions</w:t>
      </w:r>
      <w:r w:rsidR="001F70E8">
        <w:t>,</w:t>
      </w:r>
      <w:r w:rsidR="00F21080">
        <w:t xml:space="preserve"> </w:t>
      </w:r>
      <w:r w:rsidR="001B017D">
        <w:t>due to it being partially removed and partially hidden by foliage – see [</w:t>
      </w:r>
      <w:r w:rsidR="001B017D" w:rsidRPr="001B017D">
        <w:rPr>
          <w:b/>
          <w:bCs/>
        </w:rPr>
        <w:t>evidence</w:t>
      </w:r>
      <w:r w:rsidR="001B017D">
        <w:t>]. Referring to the Claimant’s Witness Statement – see [</w:t>
      </w:r>
      <w:r w:rsidR="001B017D" w:rsidRPr="001B017D">
        <w:rPr>
          <w:b/>
          <w:bCs/>
        </w:rPr>
        <w:t>evidence</w:t>
      </w:r>
      <w:r w:rsidR="001B017D">
        <w:t>] – the site map shows that this was the only sign at the entrance/exit to this site, which the Claimant failed to maintain to a reasonable standard for a driver to observe as they entered the site.</w:t>
      </w:r>
    </w:p>
    <w:p w14:paraId="76E9419A" w14:textId="64E7AA8E" w:rsidR="00F21080" w:rsidRDefault="00F21080" w:rsidP="00F21080">
      <w:pPr>
        <w:ind w:left="360"/>
      </w:pPr>
    </w:p>
    <w:p w14:paraId="5723312B" w14:textId="392EEBF7" w:rsidR="00F21080" w:rsidRDefault="00F21080" w:rsidP="00F21080">
      <w:pPr>
        <w:pStyle w:val="ListParagraph"/>
        <w:numPr>
          <w:ilvl w:val="0"/>
          <w:numId w:val="1"/>
        </w:numPr>
      </w:pPr>
      <w:r>
        <w:t>T</w:t>
      </w:r>
      <w:r w:rsidRPr="00F21080">
        <w:t xml:space="preserve">he Claimant is a member of the International Parking Community. </w:t>
      </w:r>
      <w:r w:rsidR="002C19BF">
        <w:t xml:space="preserve">Part E </w:t>
      </w:r>
      <w:r w:rsidR="00623E09">
        <w:t xml:space="preserve">Schedule 1 – Signage </w:t>
      </w:r>
      <w:r w:rsidR="00A1092C">
        <w:t xml:space="preserve">of their Code of Practice V6 </w:t>
      </w:r>
      <w:r w:rsidR="007A6543">
        <w:t>[</w:t>
      </w:r>
      <w:r w:rsidR="00A1092C">
        <w:t>Jun-17</w:t>
      </w:r>
      <w:r w:rsidR="007A6543">
        <w:t>]</w:t>
      </w:r>
      <w:r w:rsidR="00C66195">
        <w:t xml:space="preserve"> (in force at the time of the alleged parking contravention)</w:t>
      </w:r>
      <w:r w:rsidR="00A1092C">
        <w:t xml:space="preserve"> </w:t>
      </w:r>
      <w:r w:rsidRPr="00F21080">
        <w:t>provides</w:t>
      </w:r>
      <w:r w:rsidR="00623E09">
        <w:t>:</w:t>
      </w:r>
    </w:p>
    <w:p w14:paraId="368552DF" w14:textId="6511C2C7" w:rsidR="00F21080" w:rsidRPr="002C19BF" w:rsidRDefault="00F21080" w:rsidP="00061910">
      <w:pPr>
        <w:pStyle w:val="ListParagraph"/>
        <w:numPr>
          <w:ilvl w:val="1"/>
          <w:numId w:val="1"/>
        </w:numPr>
        <w:rPr>
          <w:i/>
          <w:iCs/>
        </w:rPr>
      </w:pPr>
      <w:r w:rsidRPr="002C19BF">
        <w:rPr>
          <w:i/>
          <w:iCs/>
        </w:rPr>
        <w:t>“</w:t>
      </w:r>
      <w:r w:rsidR="002C19BF" w:rsidRPr="002C19BF">
        <w:rPr>
          <w:i/>
          <w:iCs/>
        </w:rPr>
        <w:t>Signs should be constructed from material that is sufficiently robust to withstand normal</w:t>
      </w:r>
      <w:r w:rsidR="002C19BF" w:rsidRPr="002C19BF">
        <w:rPr>
          <w:i/>
          <w:iCs/>
        </w:rPr>
        <w:t xml:space="preserve"> </w:t>
      </w:r>
      <w:r w:rsidR="002C19BF" w:rsidRPr="002C19BF">
        <w:rPr>
          <w:i/>
          <w:iCs/>
        </w:rPr>
        <w:t>external conditions. Signs must be professionally made and not hand-written so it is</w:t>
      </w:r>
      <w:r w:rsidR="002C19BF" w:rsidRPr="002C19BF">
        <w:rPr>
          <w:i/>
          <w:iCs/>
        </w:rPr>
        <w:t xml:space="preserve"> </w:t>
      </w:r>
      <w:r w:rsidR="002C19BF" w:rsidRPr="002C19BF">
        <w:rPr>
          <w:i/>
          <w:iCs/>
        </w:rPr>
        <w:t>immediately apparent to the motorist that they convey important information regarding the</w:t>
      </w:r>
      <w:r w:rsidR="002C19BF">
        <w:rPr>
          <w:i/>
          <w:iCs/>
        </w:rPr>
        <w:t xml:space="preserve"> </w:t>
      </w:r>
      <w:r w:rsidR="002C19BF" w:rsidRPr="002C19BF">
        <w:rPr>
          <w:i/>
          <w:iCs/>
        </w:rPr>
        <w:t>site upon which they are placed.</w:t>
      </w:r>
      <w:r w:rsidRPr="002C19BF">
        <w:rPr>
          <w:i/>
          <w:iCs/>
        </w:rPr>
        <w:t>”</w:t>
      </w:r>
      <w:r w:rsidR="00623E09" w:rsidRPr="002C19BF">
        <w:rPr>
          <w:i/>
          <w:iCs/>
        </w:rPr>
        <w:t>.</w:t>
      </w:r>
    </w:p>
    <w:p w14:paraId="33C8FC45" w14:textId="53A9F19F" w:rsidR="00F21080" w:rsidRDefault="00F21080" w:rsidP="00F21080">
      <w:pPr>
        <w:pStyle w:val="ListParagraph"/>
        <w:numPr>
          <w:ilvl w:val="1"/>
          <w:numId w:val="1"/>
        </w:numPr>
        <w:rPr>
          <w:i/>
          <w:iCs/>
        </w:rPr>
      </w:pPr>
      <w:r>
        <w:rPr>
          <w:i/>
          <w:iCs/>
        </w:rPr>
        <w:t>“</w:t>
      </w:r>
      <w:r w:rsidR="002C19BF" w:rsidRPr="002C19BF">
        <w:rPr>
          <w:i/>
          <w:iCs/>
        </w:rPr>
        <w:t xml:space="preserve">Signs </w:t>
      </w:r>
      <w:proofErr w:type="gramStart"/>
      <w:r w:rsidR="002C19BF" w:rsidRPr="002C19BF">
        <w:rPr>
          <w:i/>
          <w:iCs/>
        </w:rPr>
        <w:t>should ,</w:t>
      </w:r>
      <w:proofErr w:type="gramEnd"/>
      <w:r w:rsidR="002C19BF" w:rsidRPr="002C19BF">
        <w:rPr>
          <w:i/>
          <w:iCs/>
        </w:rPr>
        <w:t xml:space="preserve"> where practicable, be placed at the entrance to a site.</w:t>
      </w:r>
      <w:r>
        <w:rPr>
          <w:i/>
          <w:iCs/>
        </w:rPr>
        <w:t>”</w:t>
      </w:r>
    </w:p>
    <w:p w14:paraId="29353E35" w14:textId="169DE65E" w:rsidR="00623E09" w:rsidRPr="002C19BF" w:rsidRDefault="00623E09" w:rsidP="00E869A2">
      <w:pPr>
        <w:pStyle w:val="ListParagraph"/>
        <w:numPr>
          <w:ilvl w:val="1"/>
          <w:numId w:val="1"/>
        </w:numPr>
        <w:rPr>
          <w:i/>
          <w:iCs/>
        </w:rPr>
      </w:pPr>
      <w:r w:rsidRPr="002C19BF">
        <w:rPr>
          <w:i/>
          <w:iCs/>
        </w:rPr>
        <w:t>“</w:t>
      </w:r>
      <w:r w:rsidR="002C19BF" w:rsidRPr="002C19BF">
        <w:rPr>
          <w:i/>
          <w:iCs/>
        </w:rPr>
        <w:t>Where there is any change to any pre-existing terms and conditions that would not be immediately apparent to a person visiting the site and which materially affects the motorist you</w:t>
      </w:r>
      <w:r w:rsidR="002C19BF" w:rsidRPr="002C19BF">
        <w:rPr>
          <w:i/>
          <w:iCs/>
        </w:rPr>
        <w:t xml:space="preserve"> </w:t>
      </w:r>
      <w:r w:rsidR="002C19BF" w:rsidRPr="002C19BF">
        <w:rPr>
          <w:i/>
          <w:iCs/>
        </w:rPr>
        <w:t>should place additional (temporary) signage at the entrance making it clear that new terms</w:t>
      </w:r>
      <w:r w:rsidR="002C19BF" w:rsidRPr="002C19BF">
        <w:rPr>
          <w:i/>
          <w:iCs/>
        </w:rPr>
        <w:t xml:space="preserve"> </w:t>
      </w:r>
      <w:r w:rsidR="002C19BF" w:rsidRPr="002C19BF">
        <w:rPr>
          <w:i/>
          <w:iCs/>
        </w:rPr>
        <w:t xml:space="preserve">and conditions/charges apply, such that regular visitors who may be familiar with the </w:t>
      </w:r>
      <w:r w:rsidR="002C19BF" w:rsidRPr="002C19BF">
        <w:rPr>
          <w:i/>
          <w:iCs/>
        </w:rPr>
        <w:lastRenderedPageBreak/>
        <w:t>old</w:t>
      </w:r>
      <w:r w:rsidR="002C19BF" w:rsidRPr="002C19BF">
        <w:rPr>
          <w:i/>
          <w:iCs/>
        </w:rPr>
        <w:t xml:space="preserve"> </w:t>
      </w:r>
      <w:r w:rsidR="002C19BF" w:rsidRPr="002C19BF">
        <w:rPr>
          <w:i/>
          <w:iCs/>
        </w:rPr>
        <w:t>terms do not inadvertently incur parking charges. This signage should be in addition to the</w:t>
      </w:r>
      <w:r w:rsidR="002C19BF">
        <w:rPr>
          <w:i/>
          <w:iCs/>
        </w:rPr>
        <w:t xml:space="preserve"> </w:t>
      </w:r>
      <w:r w:rsidR="002C19BF" w:rsidRPr="002C19BF">
        <w:rPr>
          <w:i/>
          <w:iCs/>
        </w:rPr>
        <w:t>signage ordinarily required and left in place for an appropriate period</w:t>
      </w:r>
      <w:r w:rsidRPr="002C19BF">
        <w:rPr>
          <w:i/>
          <w:iCs/>
        </w:rPr>
        <w:t>”.</w:t>
      </w:r>
    </w:p>
    <w:p w14:paraId="24A5540E" w14:textId="34206744" w:rsidR="00623E09" w:rsidRPr="00623E09" w:rsidRDefault="00623E09" w:rsidP="00623E09">
      <w:pPr>
        <w:rPr>
          <w:i/>
          <w:iCs/>
        </w:rPr>
      </w:pPr>
    </w:p>
    <w:p w14:paraId="0796C463" w14:textId="43854FB8" w:rsidR="001B017D" w:rsidRDefault="00623E09" w:rsidP="00D56270">
      <w:pPr>
        <w:pStyle w:val="ListParagraph"/>
        <w:numPr>
          <w:ilvl w:val="0"/>
          <w:numId w:val="1"/>
        </w:numPr>
      </w:pPr>
      <w:r>
        <w:t>It is asserted by the Defendant that the materials used for the sign were insufficient to meet either the guidance or spirit of the guidance in 4.1</w:t>
      </w:r>
      <w:r w:rsidR="00A54D96">
        <w:t xml:space="preserve"> given its state</w:t>
      </w:r>
      <w:r>
        <w:t xml:space="preserve">. Similarly, 4.2 could not be met given that the </w:t>
      </w:r>
      <w:r w:rsidR="007F47BE">
        <w:t>remainder of the</w:t>
      </w:r>
      <w:r>
        <w:t xml:space="preserve"> sign could not allude to </w:t>
      </w:r>
      <w:r w:rsidR="002C19BF">
        <w:t>the Claimant’s parking restrictions in operation</w:t>
      </w:r>
      <w:r>
        <w:t xml:space="preserve">. It is also believed that the Claimant failed to meet guidance in 4.3, as the </w:t>
      </w:r>
      <w:r w:rsidR="001B017D">
        <w:t xml:space="preserve">Defendant had used this car park </w:t>
      </w:r>
      <w:r w:rsidR="00ED0ACF">
        <w:t>previously</w:t>
      </w:r>
      <w:r w:rsidR="001B017D">
        <w:t xml:space="preserve"> having lived in the apartment block directly opposite, so was aware that many non-permit holders used this car park out of peak working time hours in order to visit the local area. As the more prominent sign for the land owner remained in place (see [</w:t>
      </w:r>
      <w:r w:rsidR="001B017D" w:rsidRPr="00623E09">
        <w:rPr>
          <w:b/>
          <w:bCs/>
        </w:rPr>
        <w:t>evidence</w:t>
      </w:r>
      <w:r w:rsidR="001B017D">
        <w:t>])</w:t>
      </w:r>
      <w:r w:rsidR="00A54D96">
        <w:t xml:space="preserve"> with no </w:t>
      </w:r>
      <w:r w:rsidR="002C19BF">
        <w:t>signage/notices</w:t>
      </w:r>
      <w:r w:rsidR="00A54D96">
        <w:t xml:space="preserve"> by the Claimant</w:t>
      </w:r>
      <w:r w:rsidR="001B017D">
        <w:t xml:space="preserve">, </w:t>
      </w:r>
      <w:r w:rsidR="00DA4BF9">
        <w:t>the Defendant had the hones</w:t>
      </w:r>
      <w:r>
        <w:t>t</w:t>
      </w:r>
      <w:r w:rsidR="00DA4BF9">
        <w:t xml:space="preserve"> belie</w:t>
      </w:r>
      <w:r w:rsidR="001F70E8">
        <w:t>f</w:t>
      </w:r>
      <w:r w:rsidR="00DA4BF9">
        <w:t xml:space="preserve"> that there was no change in parking restrictions.</w:t>
      </w:r>
    </w:p>
    <w:p w14:paraId="3C4B14FA" w14:textId="1DCB187E" w:rsidR="007F47BE" w:rsidRDefault="007F47BE" w:rsidP="007F47BE">
      <w:pPr>
        <w:ind w:left="360"/>
      </w:pPr>
    </w:p>
    <w:p w14:paraId="60A7D6D1" w14:textId="2075EFA0" w:rsidR="00BE5C09" w:rsidRDefault="007F47BE" w:rsidP="00680522">
      <w:pPr>
        <w:pStyle w:val="ListParagraph"/>
        <w:numPr>
          <w:ilvl w:val="0"/>
          <w:numId w:val="1"/>
        </w:numPr>
      </w:pPr>
      <w:r w:rsidRPr="007F47BE">
        <w:t xml:space="preserve">Only </w:t>
      </w:r>
      <w:r>
        <w:t>on finding the parking charge ticket did the Defendant discover the remainder of the entrance sign</w:t>
      </w:r>
      <w:r w:rsidR="001F70E8">
        <w:t>,</w:t>
      </w:r>
      <w:r>
        <w:t xml:space="preserve"> along with an additional sign affixed to a low fence behind his parked vehicle, see [</w:t>
      </w:r>
      <w:r w:rsidRPr="00C45989">
        <w:rPr>
          <w:b/>
          <w:bCs/>
        </w:rPr>
        <w:t>evidence</w:t>
      </w:r>
      <w:r>
        <w:t>])</w:t>
      </w:r>
      <w:r w:rsidR="00FF1E2C">
        <w:t xml:space="preserve"> that could have easily been occluded on parking</w:t>
      </w:r>
      <w:r w:rsidR="001F70E8">
        <w:t xml:space="preserve"> given its size and location</w:t>
      </w:r>
      <w:r w:rsidRPr="007F47BE">
        <w:t>.</w:t>
      </w:r>
      <w:r w:rsidR="00BE5C09">
        <w:t xml:space="preserve"> Part E Schedule 1 – Signage ‘Other Signs’</w:t>
      </w:r>
      <w:r w:rsidR="00C45989">
        <w:t xml:space="preserve"> states these signs must, “</w:t>
      </w:r>
      <w:r w:rsidR="00C45989" w:rsidRPr="00C45989">
        <w:rPr>
          <w:i/>
          <w:iCs/>
        </w:rPr>
        <w:t>Be clearly legible and placed in such a position (or positions) such that a</w:t>
      </w:r>
      <w:r w:rsidR="00C45989" w:rsidRPr="00C45989">
        <w:rPr>
          <w:i/>
          <w:iCs/>
        </w:rPr>
        <w:t xml:space="preserve"> </w:t>
      </w:r>
      <w:r w:rsidR="00C45989" w:rsidRPr="00C45989">
        <w:rPr>
          <w:i/>
          <w:iCs/>
        </w:rPr>
        <w:t>driver of a vehicle is able to see them clearly upon entering the site or parking a</w:t>
      </w:r>
      <w:r w:rsidR="00C45989" w:rsidRPr="00C45989">
        <w:rPr>
          <w:i/>
          <w:iCs/>
        </w:rPr>
        <w:t xml:space="preserve"> </w:t>
      </w:r>
      <w:r w:rsidR="00C45989" w:rsidRPr="00C45989">
        <w:rPr>
          <w:i/>
          <w:iCs/>
        </w:rPr>
        <w:t>vehicle within the site</w:t>
      </w:r>
      <w:r w:rsidR="00C45989">
        <w:t>” and “</w:t>
      </w:r>
      <w:r w:rsidR="00C45989" w:rsidRPr="00C45989">
        <w:rPr>
          <w:i/>
          <w:iCs/>
        </w:rPr>
        <w:t>Contain text appropriate to the position of the sign and the relative position of</w:t>
      </w:r>
      <w:r w:rsidR="00C45989" w:rsidRPr="00C45989">
        <w:rPr>
          <w:i/>
          <w:iCs/>
        </w:rPr>
        <w:t xml:space="preserve"> </w:t>
      </w:r>
      <w:r w:rsidR="00C45989" w:rsidRPr="00C45989">
        <w:rPr>
          <w:i/>
          <w:iCs/>
        </w:rPr>
        <w:t>the person who it is aimed at</w:t>
      </w:r>
      <w:r w:rsidR="00C45989">
        <w:t xml:space="preserve">”. It is of the opinion of the Defendant that neither of these conditions of the </w:t>
      </w:r>
      <w:proofErr w:type="spellStart"/>
      <w:r w:rsidR="00C45989">
        <w:t>Claimaint’s</w:t>
      </w:r>
      <w:proofErr w:type="spellEnd"/>
      <w:r w:rsidR="00C45989">
        <w:t xml:space="preserve"> Code of Practice were met.</w:t>
      </w:r>
    </w:p>
    <w:p w14:paraId="21E8EEF0" w14:textId="77777777" w:rsidR="00BE5C09" w:rsidRDefault="00BE5C09" w:rsidP="00BE5C09">
      <w:pPr>
        <w:ind w:left="360"/>
      </w:pPr>
    </w:p>
    <w:p w14:paraId="78D36445" w14:textId="56AEB4CA" w:rsidR="00FF1E2C" w:rsidRDefault="007F47BE" w:rsidP="00FF1E2C">
      <w:pPr>
        <w:pStyle w:val="ListParagraph"/>
        <w:numPr>
          <w:ilvl w:val="0"/>
          <w:numId w:val="1"/>
        </w:numPr>
      </w:pPr>
      <w:r>
        <w:t>The Defendant</w:t>
      </w:r>
      <w:r w:rsidRPr="007F47BE">
        <w:t xml:space="preserve"> had</w:t>
      </w:r>
      <w:r>
        <w:t xml:space="preserve"> </w:t>
      </w:r>
      <w:r w:rsidRPr="007F47BE">
        <w:t xml:space="preserve">been afforded no fair opportunity to learn that </w:t>
      </w:r>
      <w:r>
        <w:t xml:space="preserve">parking restrictions had changed </w:t>
      </w:r>
      <w:r w:rsidRPr="007F47BE">
        <w:t xml:space="preserve">and was therefore under no duty to seek them out (as held in Vine v London Borough of Waltham Forest [2000] EWCA </w:t>
      </w:r>
      <w:proofErr w:type="spellStart"/>
      <w:r w:rsidRPr="007F47BE">
        <w:t>Civ</w:t>
      </w:r>
      <w:proofErr w:type="spellEnd"/>
      <w:r w:rsidRPr="007F47BE">
        <w:t xml:space="preserve"> 1069) </w:t>
      </w:r>
      <w:r>
        <w:t>[</w:t>
      </w:r>
      <w:r w:rsidRPr="00FF1E2C">
        <w:rPr>
          <w:b/>
          <w:bCs/>
        </w:rPr>
        <w:t>exhibit</w:t>
      </w:r>
      <w:r>
        <w:t>]</w:t>
      </w:r>
      <w:r w:rsidRPr="007F47BE">
        <w:t xml:space="preserve">. I note from research about </w:t>
      </w:r>
      <w:r w:rsidR="001F70E8">
        <w:t xml:space="preserve">similar </w:t>
      </w:r>
      <w:r w:rsidRPr="007F47BE">
        <w:t xml:space="preserve">cases that </w:t>
      </w:r>
      <w:r w:rsidR="001F70E8">
        <w:t>Claimants are</w:t>
      </w:r>
      <w:r w:rsidRPr="007F47BE">
        <w:t xml:space="preserve"> known to mislead courts using this authority by quoting out of context from </w:t>
      </w:r>
      <w:proofErr w:type="spellStart"/>
      <w:r w:rsidRPr="007F47BE">
        <w:t>Roch</w:t>
      </w:r>
      <w:proofErr w:type="spellEnd"/>
      <w:r w:rsidRPr="007F47BE">
        <w:t xml:space="preserve"> LJ, whose words related to the Respondent’s losing case, and not from the decision. In fact, Miss Vine won because it was held as a fact that she was not afforded a fair opportunity to learn of the terms by which she would be bound.</w:t>
      </w:r>
    </w:p>
    <w:p w14:paraId="67D5315B" w14:textId="77777777" w:rsidR="00FF1E2C" w:rsidRDefault="00FF1E2C" w:rsidP="00FF1E2C"/>
    <w:p w14:paraId="6E29C745" w14:textId="6FF1BCC3" w:rsidR="00A42A15" w:rsidRDefault="00A42A15" w:rsidP="005E1B88">
      <w:r>
        <w:rPr>
          <w:b/>
          <w:bCs/>
          <w:u w:val="single"/>
        </w:rPr>
        <w:t>Defective Contract</w:t>
      </w:r>
    </w:p>
    <w:p w14:paraId="27E380C6" w14:textId="2A2F650A" w:rsidR="00A42A15" w:rsidRDefault="00A42A15" w:rsidP="005E1B88"/>
    <w:p w14:paraId="2440169E" w14:textId="3909D20E" w:rsidR="008B5D95" w:rsidRDefault="008B5D95" w:rsidP="008B5D95">
      <w:pPr>
        <w:pStyle w:val="ListParagraph"/>
        <w:numPr>
          <w:ilvl w:val="0"/>
          <w:numId w:val="1"/>
        </w:numPr>
      </w:pPr>
      <w:r w:rsidRPr="008B5D95">
        <w:t>Paragraph</w:t>
      </w:r>
      <w:r>
        <w:t>s</w:t>
      </w:r>
      <w:r w:rsidRPr="008B5D95">
        <w:t xml:space="preserve"> </w:t>
      </w:r>
      <w:r>
        <w:t>4</w:t>
      </w:r>
      <w:r w:rsidRPr="008B5D95">
        <w:t xml:space="preserve"> </w:t>
      </w:r>
      <w:r>
        <w:t xml:space="preserve">and 6 </w:t>
      </w:r>
      <w:r w:rsidRPr="008B5D95">
        <w:t xml:space="preserve">of </w:t>
      </w:r>
      <w:r>
        <w:t xml:space="preserve">the </w:t>
      </w:r>
      <w:r w:rsidRPr="008B5D95">
        <w:t>Claimant’s witness statement, refer to a</w:t>
      </w:r>
      <w:r>
        <w:t xml:space="preserve"> contractual</w:t>
      </w:r>
      <w:r w:rsidRPr="008B5D95">
        <w:t xml:space="preserve"> agreement with the landowner </w:t>
      </w:r>
      <w:r>
        <w:t>that</w:t>
      </w:r>
      <w:r w:rsidRPr="008B5D95">
        <w:t xml:space="preserve"> gave the Claimant authority to enforce parking charges</w:t>
      </w:r>
      <w:r w:rsidR="008E4B69">
        <w:t xml:space="preserve"> </w:t>
      </w:r>
      <w:r w:rsidR="00EC43B0">
        <w:t>(</w:t>
      </w:r>
      <w:r w:rsidR="008E4B69">
        <w:t>see [</w:t>
      </w:r>
      <w:r w:rsidR="008E4B69" w:rsidRPr="008E4B69">
        <w:rPr>
          <w:b/>
          <w:bCs/>
        </w:rPr>
        <w:t>exhibit</w:t>
      </w:r>
      <w:r w:rsidR="008E4B69">
        <w:t>]</w:t>
      </w:r>
      <w:r w:rsidR="00EC43B0">
        <w:t>)</w:t>
      </w:r>
      <w:r w:rsidRPr="008B5D95">
        <w:t xml:space="preserve">. </w:t>
      </w:r>
      <w:r>
        <w:t>The contract states that the land owner (‘</w:t>
      </w:r>
      <w:r w:rsidR="008E4B69">
        <w:t>proprietor</w:t>
      </w:r>
      <w:r>
        <w:t xml:space="preserve">’) is </w:t>
      </w:r>
      <w:r w:rsidR="006C62A1">
        <w:t>[</w:t>
      </w:r>
      <w:r w:rsidR="006C62A1" w:rsidRPr="006C62A1">
        <w:rPr>
          <w:b/>
          <w:bCs/>
        </w:rPr>
        <w:t>organisation</w:t>
      </w:r>
      <w:r w:rsidR="006C62A1">
        <w:t>]</w:t>
      </w:r>
      <w:r>
        <w:t>, an unincorporated charity.</w:t>
      </w:r>
    </w:p>
    <w:p w14:paraId="24DED49E" w14:textId="77777777" w:rsidR="008B5D95" w:rsidRDefault="008B5D95" w:rsidP="008B5D95">
      <w:pPr>
        <w:ind w:left="360"/>
      </w:pPr>
    </w:p>
    <w:p w14:paraId="12FBBBFA" w14:textId="3867534C" w:rsidR="008B5D95" w:rsidRDefault="00EC43B0" w:rsidP="00060D6E">
      <w:pPr>
        <w:pStyle w:val="ListParagraph"/>
        <w:numPr>
          <w:ilvl w:val="0"/>
          <w:numId w:val="1"/>
        </w:numPr>
      </w:pPr>
      <w:r>
        <w:t>As the charity is not an incorporated entity</w:t>
      </w:r>
      <w:r w:rsidR="006406FE">
        <w:t xml:space="preserve">, the contract fails the requirements of Section 44 of the </w:t>
      </w:r>
      <w:r>
        <w:t xml:space="preserve">Companies Act 2006, </w:t>
      </w:r>
      <w:r w:rsidR="006406FE">
        <w:t>and therefore is not a valid contract. The particular section states, “</w:t>
      </w:r>
      <w:r w:rsidR="006406FE" w:rsidRPr="006406FE">
        <w:rPr>
          <w:i/>
          <w:iCs/>
        </w:rPr>
        <w:t xml:space="preserve">(1) Under the law of England and Wales or Northern Ireland a document is executed </w:t>
      </w:r>
      <w:r w:rsidR="006406FE" w:rsidRPr="006406FE">
        <w:rPr>
          <w:i/>
          <w:iCs/>
        </w:rPr>
        <w:lastRenderedPageBreak/>
        <w:t>by a company—</w:t>
      </w:r>
      <w:r w:rsidR="006406FE" w:rsidRPr="006406FE">
        <w:rPr>
          <w:i/>
          <w:iCs/>
        </w:rPr>
        <w:t xml:space="preserve"> </w:t>
      </w:r>
      <w:r w:rsidR="006406FE" w:rsidRPr="006406FE">
        <w:rPr>
          <w:i/>
          <w:iCs/>
        </w:rPr>
        <w:t>(a) by the affixing of its common seal, or</w:t>
      </w:r>
      <w:r w:rsidR="006406FE" w:rsidRPr="006406FE">
        <w:rPr>
          <w:i/>
          <w:iCs/>
        </w:rPr>
        <w:t xml:space="preserve"> </w:t>
      </w:r>
      <w:r w:rsidR="006406FE" w:rsidRPr="006406FE">
        <w:rPr>
          <w:i/>
          <w:iCs/>
        </w:rPr>
        <w:t>(b) by signature in accordance with the following provisions.</w:t>
      </w:r>
      <w:r w:rsidR="006406FE" w:rsidRPr="006406FE">
        <w:rPr>
          <w:i/>
          <w:iCs/>
        </w:rPr>
        <w:t xml:space="preserve"> </w:t>
      </w:r>
      <w:r w:rsidR="006406FE" w:rsidRPr="006406FE">
        <w:rPr>
          <w:i/>
          <w:iCs/>
        </w:rPr>
        <w:t>(2) A document is validly executed by a company if it is signed on behalf of the company—</w:t>
      </w:r>
      <w:r w:rsidR="006406FE" w:rsidRPr="006406FE">
        <w:rPr>
          <w:i/>
          <w:iCs/>
        </w:rPr>
        <w:t xml:space="preserve"> </w:t>
      </w:r>
      <w:r w:rsidR="006406FE" w:rsidRPr="006406FE">
        <w:rPr>
          <w:i/>
          <w:iCs/>
        </w:rPr>
        <w:t>(a) by two authorised signatories, or</w:t>
      </w:r>
      <w:r w:rsidR="006406FE" w:rsidRPr="006406FE">
        <w:rPr>
          <w:i/>
          <w:iCs/>
        </w:rPr>
        <w:t xml:space="preserve"> </w:t>
      </w:r>
      <w:r w:rsidR="006406FE" w:rsidRPr="006406FE">
        <w:rPr>
          <w:i/>
          <w:iCs/>
        </w:rPr>
        <w:t>(b) by a director of the company in the presence of a witness who attests the signature.</w:t>
      </w:r>
      <w:r w:rsidR="006406FE" w:rsidRPr="006406FE">
        <w:rPr>
          <w:i/>
          <w:iCs/>
        </w:rPr>
        <w:t xml:space="preserve"> </w:t>
      </w:r>
      <w:r w:rsidR="006406FE" w:rsidRPr="006406FE">
        <w:rPr>
          <w:i/>
          <w:iCs/>
        </w:rPr>
        <w:t>(3) The following are “authorised signatories” for the purposes of subsection (2)—</w:t>
      </w:r>
      <w:r w:rsidR="006406FE" w:rsidRPr="006406FE">
        <w:rPr>
          <w:i/>
          <w:iCs/>
        </w:rPr>
        <w:t xml:space="preserve"> </w:t>
      </w:r>
      <w:r w:rsidR="006406FE" w:rsidRPr="006406FE">
        <w:rPr>
          <w:i/>
          <w:iCs/>
        </w:rPr>
        <w:t>(a) every director of the company, and</w:t>
      </w:r>
      <w:r w:rsidR="006406FE" w:rsidRPr="006406FE">
        <w:rPr>
          <w:i/>
          <w:iCs/>
        </w:rPr>
        <w:t xml:space="preserve"> </w:t>
      </w:r>
      <w:r w:rsidR="006406FE" w:rsidRPr="006406FE">
        <w:rPr>
          <w:i/>
          <w:iCs/>
        </w:rPr>
        <w:t>(b) in the case of a private company with a secretary or a public company, the secretary (or any joint secretary) of the company</w:t>
      </w:r>
      <w:r w:rsidR="006406FE">
        <w:t>”</w:t>
      </w:r>
      <w:r w:rsidR="006406FE">
        <w:t>.</w:t>
      </w:r>
    </w:p>
    <w:p w14:paraId="181B8735" w14:textId="77777777" w:rsidR="006406FE" w:rsidRDefault="006406FE" w:rsidP="001C1AB0"/>
    <w:p w14:paraId="61586B5C" w14:textId="51A51B82" w:rsidR="006406FE" w:rsidRDefault="006406FE" w:rsidP="00060D6E">
      <w:pPr>
        <w:pStyle w:val="ListParagraph"/>
        <w:numPr>
          <w:ilvl w:val="0"/>
          <w:numId w:val="1"/>
        </w:numPr>
      </w:pPr>
      <w:r>
        <w:t>Referring to the alleged contract – see [</w:t>
      </w:r>
      <w:r w:rsidRPr="006406FE">
        <w:rPr>
          <w:b/>
          <w:bCs/>
        </w:rPr>
        <w:t>exhibit</w:t>
      </w:r>
      <w:r>
        <w:t xml:space="preserve">] </w:t>
      </w:r>
      <w:r w:rsidR="001C1AB0">
        <w:t>– it has not been executed in accordance with subsection 1 because it has not been signed by two people from each company (the Claimant and the Proprietor) nor by a director and witness of each company in accordance with the requirements of subsection 2. In addition, it has not been signed by authorised signatories as defined in subsection 3. Further, the signatures have been redacted so it is required that the Claimant has to prove they relate to actual employees of both of the companies concerned as there is no indication on the document that they actually work for the two named companies or in what capacity.</w:t>
      </w:r>
    </w:p>
    <w:p w14:paraId="230CC9C8" w14:textId="77777777" w:rsidR="00EC43B0" w:rsidRDefault="00EC43B0" w:rsidP="00EC43B0">
      <w:pPr>
        <w:ind w:left="360"/>
      </w:pPr>
    </w:p>
    <w:p w14:paraId="3CA71154" w14:textId="33253480" w:rsidR="00EC43B0" w:rsidRDefault="00EC43B0" w:rsidP="008B5D95">
      <w:pPr>
        <w:pStyle w:val="ListParagraph"/>
        <w:numPr>
          <w:ilvl w:val="0"/>
          <w:numId w:val="1"/>
        </w:numPr>
      </w:pPr>
      <w:r>
        <w:t>Additionally, the signage in the site (see [</w:t>
      </w:r>
      <w:r w:rsidRPr="00EC43B0">
        <w:rPr>
          <w:b/>
          <w:bCs/>
        </w:rPr>
        <w:t>evidence</w:t>
      </w:r>
      <w:r>
        <w:t>]) refer</w:t>
      </w:r>
      <w:r w:rsidR="006C62A1">
        <w:t>s to permit holders only, as required by the agreement. This arguably excludes all non-permit holders</w:t>
      </w:r>
      <w:r w:rsidR="007B7749">
        <w:t>,</w:t>
      </w:r>
      <w:r w:rsidR="006C62A1">
        <w:t xml:space="preserve"> so a contract could not be granted to anyone</w:t>
      </w:r>
      <w:r w:rsidR="00053833">
        <w:t xml:space="preserve"> without already being in possession of one.</w:t>
      </w:r>
    </w:p>
    <w:p w14:paraId="346849DA" w14:textId="77777777" w:rsidR="006C62A1" w:rsidRDefault="006C62A1" w:rsidP="006C62A1">
      <w:pPr>
        <w:ind w:left="360"/>
      </w:pPr>
    </w:p>
    <w:p w14:paraId="2CDCF9CF" w14:textId="52B0F5D2" w:rsidR="006C62A1" w:rsidRDefault="006C62A1" w:rsidP="008B5D95">
      <w:pPr>
        <w:pStyle w:val="ListParagraph"/>
        <w:numPr>
          <w:ilvl w:val="0"/>
          <w:numId w:val="1"/>
        </w:numPr>
      </w:pPr>
      <w:r>
        <w:t xml:space="preserve">Given the above arguments, the Defendant is of the opinion that the contract was </w:t>
      </w:r>
      <w:r w:rsidR="001C1AB0">
        <w:t>not valid with the above Act of Parliament, therefore any</w:t>
      </w:r>
      <w:r>
        <w:t xml:space="preserve"> </w:t>
      </w:r>
      <w:r w:rsidR="001C1AB0">
        <w:t xml:space="preserve">parking charge notices are also invalid as </w:t>
      </w:r>
      <w:r>
        <w:t xml:space="preserve">the Claimant had no authority to grant </w:t>
      </w:r>
      <w:r w:rsidR="001C1AB0">
        <w:t>them</w:t>
      </w:r>
      <w:r w:rsidR="001F70E8">
        <w:t xml:space="preserve"> on the site</w:t>
      </w:r>
      <w:r w:rsidR="001C1AB0">
        <w:t xml:space="preserve"> because they did not have a valid contract with the landowner or authority to manage the site</w:t>
      </w:r>
      <w:r>
        <w:t>.</w:t>
      </w:r>
    </w:p>
    <w:p w14:paraId="6E144908" w14:textId="77777777" w:rsidR="001C1AB0" w:rsidRDefault="001C1AB0" w:rsidP="007D4EFE">
      <w:pPr>
        <w:ind w:left="360"/>
      </w:pPr>
    </w:p>
    <w:p w14:paraId="69D3669B" w14:textId="340DE91D" w:rsidR="001C1AB0" w:rsidRDefault="001C1AB0" w:rsidP="008B5D95">
      <w:pPr>
        <w:pStyle w:val="ListParagraph"/>
        <w:numPr>
          <w:ilvl w:val="0"/>
          <w:numId w:val="1"/>
        </w:numPr>
      </w:pPr>
      <w:r w:rsidRPr="001C1AB0">
        <w:t>Furthermore</w:t>
      </w:r>
      <w:r w:rsidRPr="001C1AB0">
        <w:t xml:space="preserve">, in case number F1DP92KF heard at Truro County Court on the </w:t>
      </w:r>
      <w:r>
        <w:t>03/07/20</w:t>
      </w:r>
      <w:r w:rsidRPr="001C1AB0">
        <w:t>, District Judge Simon Middleton stated that, "</w:t>
      </w:r>
      <w:r w:rsidRPr="001C1AB0">
        <w:rPr>
          <w:i/>
          <w:iCs/>
        </w:rPr>
        <w:t>Claire Williams could not have signed the contract on behalf of the owner because she is not a director o</w:t>
      </w:r>
      <w:r w:rsidR="007D4EFE">
        <w:rPr>
          <w:i/>
          <w:iCs/>
        </w:rPr>
        <w:t>f</w:t>
      </w:r>
      <w:r w:rsidRPr="001C1AB0">
        <w:rPr>
          <w:i/>
          <w:iCs/>
        </w:rPr>
        <w:t xml:space="preserve"> the owner</w:t>
      </w:r>
      <w:r w:rsidRPr="001C1AB0">
        <w:t>"</w:t>
      </w:r>
      <w:r>
        <w:t>.</w:t>
      </w:r>
      <w:r w:rsidR="007D4EFE">
        <w:t xml:space="preserve"> In this case, there is no proof from the Claimant that the unidentified proprietor signatory was a director of the landowner and was authorised to sign the contract on behalf of the landowner.</w:t>
      </w:r>
    </w:p>
    <w:p w14:paraId="776F9E49" w14:textId="77777777" w:rsidR="007D4EFE" w:rsidRDefault="007D4EFE" w:rsidP="007D4EFE">
      <w:pPr>
        <w:ind w:left="360"/>
      </w:pPr>
    </w:p>
    <w:p w14:paraId="14B4CED6" w14:textId="6EDA0A50" w:rsidR="007D4EFE" w:rsidRDefault="007D4EFE" w:rsidP="009E52B3">
      <w:pPr>
        <w:pStyle w:val="ListParagraph"/>
        <w:numPr>
          <w:ilvl w:val="0"/>
          <w:numId w:val="1"/>
        </w:numPr>
      </w:pPr>
      <w:r>
        <w:t xml:space="preserve">Referring to the case of Hancock vs </w:t>
      </w:r>
      <w:proofErr w:type="spellStart"/>
      <w:r>
        <w:t>Promontoria</w:t>
      </w:r>
      <w:proofErr w:type="spellEnd"/>
      <w:r>
        <w:t xml:space="preserve"> (Chestnut) Ltd, the Appeal Court found that a, “</w:t>
      </w:r>
      <w:r w:rsidRPr="007D4EFE">
        <w:rPr>
          <w:i/>
          <w:iCs/>
        </w:rPr>
        <w:t>document must in all normal circumstances be placed before the court as a whole</w:t>
      </w:r>
      <w:r w:rsidRPr="007D4EFE">
        <w:rPr>
          <w:i/>
          <w:iCs/>
        </w:rPr>
        <w:t>…</w:t>
      </w:r>
      <w:r>
        <w:t>” and “</w:t>
      </w:r>
      <w:r w:rsidRPr="007D4EFE">
        <w:rPr>
          <w:i/>
          <w:iCs/>
        </w:rPr>
        <w:t>Seldom, if ever, can it be appropriate for one party unilaterally to redact provisions in</w:t>
      </w:r>
      <w:r w:rsidRPr="007D4EFE">
        <w:rPr>
          <w:i/>
          <w:iCs/>
        </w:rPr>
        <w:t xml:space="preserve"> </w:t>
      </w:r>
      <w:r w:rsidRPr="007D4EFE">
        <w:rPr>
          <w:i/>
          <w:iCs/>
        </w:rPr>
        <w:t>a contractual document which the court is being asked to construe, merely on grounds</w:t>
      </w:r>
      <w:r w:rsidRPr="007D4EFE">
        <w:rPr>
          <w:i/>
          <w:iCs/>
        </w:rPr>
        <w:t xml:space="preserve"> </w:t>
      </w:r>
      <w:r w:rsidRPr="007D4EFE">
        <w:rPr>
          <w:i/>
          <w:iCs/>
        </w:rPr>
        <w:t>of confidentiality</w:t>
      </w:r>
      <w:r>
        <w:t>” and “</w:t>
      </w:r>
      <w:r w:rsidRPr="007D4EFE">
        <w:rPr>
          <w:i/>
          <w:iCs/>
        </w:rPr>
        <w:t>Confidentiality alone cannot be a good reason for</w:t>
      </w:r>
      <w:r w:rsidRPr="007D4EFE">
        <w:rPr>
          <w:i/>
          <w:iCs/>
        </w:rPr>
        <w:t xml:space="preserve"> </w:t>
      </w:r>
      <w:r w:rsidRPr="007D4EFE">
        <w:rPr>
          <w:i/>
          <w:iCs/>
        </w:rPr>
        <w:t>redacting an otherwise relevant provision</w:t>
      </w:r>
      <w:r>
        <w:t>”. It is therefore incumbent on the Claimant to present the whole contract unredacted before the court.</w:t>
      </w:r>
    </w:p>
    <w:p w14:paraId="0D3E4D7D" w14:textId="3BC066BA" w:rsidR="00A42A15" w:rsidRDefault="00A42A15" w:rsidP="005E1B88"/>
    <w:p w14:paraId="12296AED" w14:textId="6567AC96" w:rsidR="000C1420" w:rsidRDefault="00132277" w:rsidP="000C1420">
      <w:r>
        <w:rPr>
          <w:b/>
          <w:bCs/>
          <w:u w:val="single"/>
        </w:rPr>
        <w:t>The contract requiring a permit was void for impossibility</w:t>
      </w:r>
    </w:p>
    <w:p w14:paraId="59F7BA9F" w14:textId="77777777" w:rsidR="000C1420" w:rsidRDefault="000C1420" w:rsidP="000C1420"/>
    <w:p w14:paraId="17129583" w14:textId="6ACC751D" w:rsidR="00517EBB" w:rsidRDefault="00517EBB" w:rsidP="00517EBB">
      <w:pPr>
        <w:pStyle w:val="ListParagraph"/>
        <w:numPr>
          <w:ilvl w:val="0"/>
          <w:numId w:val="1"/>
        </w:numPr>
      </w:pPr>
      <w:r>
        <w:t>Referring to the judg</w:t>
      </w:r>
      <w:r w:rsidR="00D7278D">
        <w:t>e</w:t>
      </w:r>
      <w:r>
        <w:t xml:space="preserve">ment Pace vs Lengyel C7GF6E3R </w:t>
      </w:r>
      <w:r w:rsidRPr="00517EBB">
        <w:rPr>
          <w:b/>
          <w:bCs/>
        </w:rPr>
        <w:t>[judgement]</w:t>
      </w:r>
      <w:r>
        <w:t xml:space="preserve">, District Judge </w:t>
      </w:r>
      <w:proofErr w:type="spellStart"/>
      <w:r>
        <w:t>Iyer</w:t>
      </w:r>
      <w:proofErr w:type="spellEnd"/>
      <w:r>
        <w:t xml:space="preserve"> had to be satisfied with the following in order for the Defendant to be in breach of the terms of the contract to display a permit:</w:t>
      </w:r>
    </w:p>
    <w:p w14:paraId="5B869B79" w14:textId="2895785E" w:rsidR="00517EBB" w:rsidRDefault="00517EBB" w:rsidP="00517EBB">
      <w:pPr>
        <w:pStyle w:val="ListParagraph"/>
        <w:numPr>
          <w:ilvl w:val="1"/>
          <w:numId w:val="1"/>
        </w:numPr>
      </w:pPr>
      <w:r>
        <w:t>The Claimant had the authority of the owner or occupier of the site to enter into contracts with people who parked their cars in the car park.</w:t>
      </w:r>
    </w:p>
    <w:p w14:paraId="7762E91A" w14:textId="2895785E" w:rsidR="00517EBB" w:rsidRDefault="00517EBB" w:rsidP="00517EBB">
      <w:pPr>
        <w:pStyle w:val="ListParagraph"/>
        <w:numPr>
          <w:ilvl w:val="1"/>
          <w:numId w:val="1"/>
        </w:numPr>
      </w:pPr>
      <w:r>
        <w:t>The Claimant and the Defendant entered into such a contract.</w:t>
      </w:r>
    </w:p>
    <w:p w14:paraId="79AFDFC8" w14:textId="210F903D" w:rsidR="00517EBB" w:rsidRPr="004F093F" w:rsidRDefault="00517EBB" w:rsidP="00517EBB">
      <w:pPr>
        <w:pStyle w:val="ListParagraph"/>
        <w:numPr>
          <w:ilvl w:val="1"/>
          <w:numId w:val="1"/>
        </w:numPr>
      </w:pPr>
      <w:r>
        <w:t>It was a valid and enforceable contract</w:t>
      </w:r>
    </w:p>
    <w:p w14:paraId="044175D5" w14:textId="77777777" w:rsidR="00517EBB" w:rsidRDefault="00517EBB" w:rsidP="00517EBB">
      <w:pPr>
        <w:ind w:left="360"/>
      </w:pPr>
    </w:p>
    <w:p w14:paraId="019AA635" w14:textId="71C87FF0" w:rsidR="00517EBB" w:rsidRPr="00ED0ACF" w:rsidRDefault="00517EBB" w:rsidP="00517EBB">
      <w:pPr>
        <w:pStyle w:val="ListParagraph"/>
        <w:numPr>
          <w:ilvl w:val="0"/>
          <w:numId w:val="1"/>
        </w:numPr>
      </w:pPr>
      <w:r w:rsidRPr="00ED0ACF">
        <w:t xml:space="preserve">Refer to </w:t>
      </w:r>
      <w:r w:rsidR="00A54D96" w:rsidRPr="00ED0ACF">
        <w:t xml:space="preserve">the previous section for </w:t>
      </w:r>
      <w:r w:rsidRPr="00ED0ACF">
        <w:t xml:space="preserve">my argument of Defective Contract in relation to criteria </w:t>
      </w:r>
      <w:r w:rsidR="001F70E8" w:rsidRPr="00ED0ACF">
        <w:t>1</w:t>
      </w:r>
      <w:r w:rsidR="00BE74FE" w:rsidRPr="00ED0ACF">
        <w:t>5</w:t>
      </w:r>
      <w:r w:rsidRPr="00ED0ACF">
        <w:t>.1 above.</w:t>
      </w:r>
    </w:p>
    <w:p w14:paraId="625B2BED" w14:textId="77777777" w:rsidR="00517EBB" w:rsidRPr="00ED0ACF" w:rsidRDefault="00517EBB" w:rsidP="00517EBB">
      <w:pPr>
        <w:ind w:left="360"/>
      </w:pPr>
    </w:p>
    <w:p w14:paraId="32594E27" w14:textId="5C2052B2" w:rsidR="00123714" w:rsidRDefault="00517EBB" w:rsidP="00517EBB">
      <w:pPr>
        <w:pStyle w:val="ListParagraph"/>
        <w:numPr>
          <w:ilvl w:val="0"/>
          <w:numId w:val="1"/>
        </w:numPr>
      </w:pPr>
      <w:r w:rsidRPr="00ED0ACF">
        <w:t xml:space="preserve">In regards to criteria </w:t>
      </w:r>
      <w:r w:rsidR="001F70E8" w:rsidRPr="00ED0ACF">
        <w:t>1</w:t>
      </w:r>
      <w:r w:rsidR="00BE74FE" w:rsidRPr="00ED0ACF">
        <w:t>5</w:t>
      </w:r>
      <w:r w:rsidRPr="00ED0ACF">
        <w:t>.2, t</w:t>
      </w:r>
      <w:r w:rsidR="00C97805" w:rsidRPr="00ED0ACF">
        <w:t xml:space="preserve">he Claimant alleges that </w:t>
      </w:r>
      <w:r w:rsidR="006C62A1" w:rsidRPr="00ED0ACF">
        <w:t>the Defendant</w:t>
      </w:r>
      <w:r w:rsidRPr="00ED0ACF">
        <w:t xml:space="preserve"> </w:t>
      </w:r>
      <w:r w:rsidR="00C97805" w:rsidRPr="00ED0ACF">
        <w:t>was in breach of the terms of parking stipulated on the</w:t>
      </w:r>
      <w:r w:rsidR="00C97805">
        <w:t xml:space="preserve"> signage thereby forming a ‘contract’, therefore leading to the </w:t>
      </w:r>
      <w:r w:rsidR="001F70E8">
        <w:t>parking</w:t>
      </w:r>
      <w:r w:rsidR="00C97805">
        <w:t xml:space="preserve"> charge</w:t>
      </w:r>
      <w:r w:rsidR="001F70E8">
        <w:t xml:space="preserve"> of £100</w:t>
      </w:r>
      <w:r w:rsidR="00C97805">
        <w:t xml:space="preserve">. However, referring to section 62 of the Consumer Rights Act 2015, this has to be a “fair” consumer contract. As the Supreme Court held in </w:t>
      </w:r>
      <w:proofErr w:type="spellStart"/>
      <w:r w:rsidR="00C97805">
        <w:t>ParkingEye</w:t>
      </w:r>
      <w:proofErr w:type="spellEnd"/>
      <w:r w:rsidR="00C97805">
        <w:t xml:space="preserve"> Ltd v Beavis [2013] EWCA </w:t>
      </w:r>
      <w:proofErr w:type="spellStart"/>
      <w:r w:rsidR="00C97805">
        <w:t>Civ</w:t>
      </w:r>
      <w:proofErr w:type="spellEnd"/>
      <w:r w:rsidR="00C97805">
        <w:t xml:space="preserve"> 1539 and [2015] EWCA </w:t>
      </w:r>
      <w:proofErr w:type="spellStart"/>
      <w:r w:rsidR="00C97805">
        <w:t>Civ</w:t>
      </w:r>
      <w:proofErr w:type="spellEnd"/>
      <w:r w:rsidR="00C97805">
        <w:t xml:space="preserve"> 402, the concept of fairness requires the parking firm to comply with the requirements of the </w:t>
      </w:r>
      <w:r w:rsidR="00D7278D">
        <w:t xml:space="preserve">relevant </w:t>
      </w:r>
      <w:r w:rsidR="00C97805">
        <w:t xml:space="preserve">code of practice, being either the British Parking Association’s code or the International Parking </w:t>
      </w:r>
      <w:r w:rsidR="00D7278D">
        <w:t>Community’s</w:t>
      </w:r>
      <w:r w:rsidR="00C97805">
        <w:t xml:space="preserve"> code.</w:t>
      </w:r>
    </w:p>
    <w:p w14:paraId="4A7A0C38" w14:textId="77777777" w:rsidR="00C66195" w:rsidRPr="00CD4B16" w:rsidRDefault="00C66195" w:rsidP="00CD4B16">
      <w:pPr>
        <w:rPr>
          <w:highlight w:val="yellow"/>
        </w:rPr>
      </w:pPr>
    </w:p>
    <w:p w14:paraId="0BD0C988" w14:textId="459B9D48" w:rsidR="00CD4B16" w:rsidRDefault="00C66195" w:rsidP="00CD4B16">
      <w:pPr>
        <w:pStyle w:val="ListParagraph"/>
        <w:numPr>
          <w:ilvl w:val="0"/>
          <w:numId w:val="1"/>
        </w:numPr>
      </w:pPr>
      <w:r w:rsidRPr="00CD4B16">
        <w:t xml:space="preserve">As stated earlier in this document, the Claimant is a member of the International Parking Community. </w:t>
      </w:r>
      <w:r w:rsidR="00CD4B16">
        <w:t xml:space="preserve">Part E </w:t>
      </w:r>
      <w:r w:rsidR="00CD4B16">
        <w:t xml:space="preserve">Schedule 1 – Signage ‘Entrance Signs’ of the Code of Practice states, </w:t>
      </w:r>
      <w:r w:rsidR="00CD4B16" w:rsidRPr="00CD4B16">
        <w:rPr>
          <w:i/>
          <w:iCs/>
        </w:rPr>
        <w:t>“Entrance Signs should b) Refer the motorist to the signs within the car park which display the full terms and conditions.”</w:t>
      </w:r>
    </w:p>
    <w:p w14:paraId="7343A70E" w14:textId="77777777" w:rsidR="00CD4B16" w:rsidRDefault="00CD4B16" w:rsidP="00CD4B16">
      <w:pPr>
        <w:ind w:left="360"/>
      </w:pPr>
    </w:p>
    <w:p w14:paraId="6A4A966F" w14:textId="14541E6D" w:rsidR="00C66195" w:rsidRPr="00CD4B16" w:rsidRDefault="00C66195" w:rsidP="007513A9">
      <w:pPr>
        <w:pStyle w:val="ListParagraph"/>
        <w:numPr>
          <w:ilvl w:val="0"/>
          <w:numId w:val="1"/>
        </w:numPr>
      </w:pPr>
      <w:r w:rsidRPr="00CD4B16">
        <w:t xml:space="preserve">Part E Schedule 1 – Signage </w:t>
      </w:r>
      <w:r w:rsidR="00CD4B16" w:rsidRPr="00CD4B16">
        <w:t xml:space="preserve">‘Other Signs’ </w:t>
      </w:r>
      <w:r w:rsidRPr="00CD4B16">
        <w:t>of their Code of Practice provides</w:t>
      </w:r>
      <w:r w:rsidRPr="00CD4B16">
        <w:rPr>
          <w:i/>
          <w:iCs/>
        </w:rPr>
        <w:t>, “</w:t>
      </w:r>
      <w:r w:rsidR="00CD4B16" w:rsidRPr="00CD4B16">
        <w:rPr>
          <w:i/>
          <w:iCs/>
        </w:rPr>
        <w:t>You must adequately display any signs intended to form the basis of contract between the</w:t>
      </w:r>
      <w:r w:rsidR="00CD4B16" w:rsidRPr="00CD4B16">
        <w:rPr>
          <w:i/>
          <w:iCs/>
        </w:rPr>
        <w:t xml:space="preserve"> </w:t>
      </w:r>
      <w:r w:rsidR="00CD4B16" w:rsidRPr="00CD4B16">
        <w:rPr>
          <w:i/>
          <w:iCs/>
        </w:rPr>
        <w:t>creditor and the driver</w:t>
      </w:r>
      <w:r w:rsidRPr="00CD4B16">
        <w:rPr>
          <w:i/>
          <w:iCs/>
        </w:rPr>
        <w:t>”</w:t>
      </w:r>
      <w:r w:rsidRPr="00CD4B16">
        <w:t>.</w:t>
      </w:r>
    </w:p>
    <w:p w14:paraId="70D790F6" w14:textId="77777777" w:rsidR="0024479C" w:rsidRDefault="0024479C" w:rsidP="0024479C">
      <w:pPr>
        <w:ind w:left="360"/>
      </w:pPr>
    </w:p>
    <w:p w14:paraId="15D5D69E" w14:textId="062D53F6" w:rsidR="0024479C" w:rsidRPr="00904ACB" w:rsidRDefault="0024479C" w:rsidP="0024479C">
      <w:pPr>
        <w:pStyle w:val="ListParagraph"/>
        <w:numPr>
          <w:ilvl w:val="0"/>
          <w:numId w:val="1"/>
        </w:numPr>
        <w:rPr>
          <w:i/>
          <w:iCs/>
        </w:rPr>
      </w:pPr>
      <w:r>
        <w:t>Refer to</w:t>
      </w:r>
      <w:r w:rsidR="00132277">
        <w:t xml:space="preserve"> </w:t>
      </w:r>
      <w:r w:rsidR="00132277" w:rsidRPr="00904ACB">
        <w:rPr>
          <w:b/>
          <w:bCs/>
        </w:rPr>
        <w:t>[e</w:t>
      </w:r>
      <w:r w:rsidR="00132277" w:rsidRPr="00132277">
        <w:rPr>
          <w:b/>
          <w:bCs/>
        </w:rPr>
        <w:t>vidence</w:t>
      </w:r>
      <w:r w:rsidR="00132277" w:rsidRPr="00904ACB">
        <w:rPr>
          <w:b/>
          <w:bCs/>
        </w:rPr>
        <w:t>]</w:t>
      </w:r>
      <w:r w:rsidR="00132277">
        <w:t xml:space="preserve"> for an example provided by the International Parking Community</w:t>
      </w:r>
      <w:r w:rsidR="00225650">
        <w:t xml:space="preserve"> for comparison to [</w:t>
      </w:r>
      <w:r w:rsidR="00225650" w:rsidRPr="00225650">
        <w:rPr>
          <w:b/>
          <w:bCs/>
        </w:rPr>
        <w:t>evidence</w:t>
      </w:r>
      <w:r w:rsidR="00225650">
        <w:t>] that I took of the entrance to the site on the date of the alleged contravention. Given the ‘entrance sign’ was nearly entirely removed, it was impossible for the Defendant to be referred to other signs within the site to view the full terms and conditions.</w:t>
      </w:r>
    </w:p>
    <w:p w14:paraId="1426AE3F" w14:textId="77777777" w:rsidR="00904ACB" w:rsidRPr="00904ACB" w:rsidRDefault="00904ACB" w:rsidP="00904ACB">
      <w:pPr>
        <w:pStyle w:val="ListParagraph"/>
        <w:rPr>
          <w:i/>
          <w:iCs/>
        </w:rPr>
      </w:pPr>
    </w:p>
    <w:p w14:paraId="13FAB60C" w14:textId="2C88629F" w:rsidR="00904ACB" w:rsidRPr="007A6543" w:rsidRDefault="007A6543" w:rsidP="00EA37D5">
      <w:pPr>
        <w:pStyle w:val="ListParagraph"/>
        <w:numPr>
          <w:ilvl w:val="0"/>
          <w:numId w:val="1"/>
        </w:numPr>
        <w:rPr>
          <w:i/>
          <w:iCs/>
        </w:rPr>
      </w:pPr>
      <w:r>
        <w:t xml:space="preserve">Part E </w:t>
      </w:r>
      <w:r w:rsidR="00904ACB">
        <w:t xml:space="preserve">Schedule 1 </w:t>
      </w:r>
      <w:r>
        <w:t xml:space="preserve">– Signage </w:t>
      </w:r>
      <w:r w:rsidR="00CD4B16">
        <w:t xml:space="preserve">‘Other Signs’ </w:t>
      </w:r>
      <w:r w:rsidR="00904ACB">
        <w:t xml:space="preserve">of the Code of Practice also states the following in addition to the entrance signs requirements, </w:t>
      </w:r>
      <w:r w:rsidR="00904ACB" w:rsidRPr="007A6543">
        <w:rPr>
          <w:i/>
          <w:iCs/>
        </w:rPr>
        <w:t>“</w:t>
      </w:r>
      <w:r w:rsidRPr="007A6543">
        <w:rPr>
          <w:i/>
          <w:iCs/>
        </w:rPr>
        <w:t>Have clear and intelligible wording and be designed such that it is clear to the</w:t>
      </w:r>
      <w:r w:rsidRPr="007A6543">
        <w:rPr>
          <w:i/>
          <w:iCs/>
        </w:rPr>
        <w:t xml:space="preserve"> </w:t>
      </w:r>
      <w:r w:rsidRPr="007A6543">
        <w:rPr>
          <w:i/>
          <w:iCs/>
        </w:rPr>
        <w:t>reasonable driver that he is entering into a contract with the creditor or committing a</w:t>
      </w:r>
      <w:r>
        <w:rPr>
          <w:i/>
          <w:iCs/>
        </w:rPr>
        <w:t xml:space="preserve"> </w:t>
      </w:r>
      <w:r w:rsidRPr="007A6543">
        <w:rPr>
          <w:i/>
          <w:iCs/>
        </w:rPr>
        <w:t>trespass as the case may be</w:t>
      </w:r>
      <w:r w:rsidR="00904ACB" w:rsidRPr="007A6543">
        <w:rPr>
          <w:i/>
          <w:iCs/>
        </w:rPr>
        <w:t>”</w:t>
      </w:r>
      <w:r w:rsidR="0030765D">
        <w:t>.</w:t>
      </w:r>
    </w:p>
    <w:p w14:paraId="3800E4CE" w14:textId="77777777" w:rsidR="007B618F" w:rsidRDefault="007B618F" w:rsidP="00904ACB"/>
    <w:p w14:paraId="32E28B25" w14:textId="0EB44E89" w:rsidR="007B618F" w:rsidRDefault="007B618F" w:rsidP="00517EBB">
      <w:pPr>
        <w:pStyle w:val="ListParagraph"/>
        <w:numPr>
          <w:ilvl w:val="0"/>
          <w:numId w:val="1"/>
        </w:numPr>
      </w:pPr>
      <w:r>
        <w:lastRenderedPageBreak/>
        <w:t xml:space="preserve">Referring to </w:t>
      </w:r>
      <w:r w:rsidRPr="007B618F">
        <w:rPr>
          <w:b/>
          <w:bCs/>
        </w:rPr>
        <w:t>[evidence]</w:t>
      </w:r>
      <w:r>
        <w:t>, nowhere within it does it inform the reader that by parking in the car park he is entering into a contract with the Claimant. Indeed, the word “contract</w:t>
      </w:r>
      <w:r w:rsidR="00332489">
        <w:t>” does</w:t>
      </w:r>
      <w:r>
        <w:t xml:space="preserve"> not appear at all within the sign, which merely refers </w:t>
      </w:r>
      <w:r w:rsidR="00332489">
        <w:t>that</w:t>
      </w:r>
      <w:r w:rsidR="00904ACB">
        <w:t>,</w:t>
      </w:r>
      <w:r>
        <w:t xml:space="preserve"> </w:t>
      </w:r>
      <w:r w:rsidR="00904ACB" w:rsidRPr="00904ACB">
        <w:rPr>
          <w:i/>
          <w:iCs/>
        </w:rPr>
        <w:t xml:space="preserve">“By entering or remaining on this land you </w:t>
      </w:r>
      <w:r w:rsidR="00332489" w:rsidRPr="00904ACB">
        <w:rPr>
          <w:i/>
          <w:iCs/>
        </w:rPr>
        <w:t>agree to abide by all of the Terms and Conditions”</w:t>
      </w:r>
      <w:r w:rsidR="00332489">
        <w:t>. The phrase “terms and conditions” is not synonymous with a contract.</w:t>
      </w:r>
    </w:p>
    <w:p w14:paraId="7C1B2841" w14:textId="77777777" w:rsidR="00332489" w:rsidRDefault="00332489" w:rsidP="001121E3">
      <w:pPr>
        <w:ind w:left="360"/>
      </w:pPr>
    </w:p>
    <w:p w14:paraId="00971BC9" w14:textId="39F62C3F" w:rsidR="006C78D0" w:rsidRPr="00ED0ACF" w:rsidRDefault="00517EBB" w:rsidP="006C78D0">
      <w:pPr>
        <w:pStyle w:val="ListParagraph"/>
        <w:numPr>
          <w:ilvl w:val="0"/>
          <w:numId w:val="1"/>
        </w:numPr>
      </w:pPr>
      <w:r w:rsidRPr="00ED0ACF">
        <w:t xml:space="preserve">In regards to criteria </w:t>
      </w:r>
      <w:r w:rsidR="0030765D" w:rsidRPr="00ED0ACF">
        <w:t>1</w:t>
      </w:r>
      <w:r w:rsidR="00BE74FE" w:rsidRPr="00ED0ACF">
        <w:t>5</w:t>
      </w:r>
      <w:r w:rsidRPr="00ED0ACF">
        <w:t xml:space="preserve">.3, </w:t>
      </w:r>
      <w:r w:rsidR="004F093F" w:rsidRPr="00ED0ACF">
        <w:t xml:space="preserve">if the Claimant is insisting that </w:t>
      </w:r>
      <w:r w:rsidR="006C62A1" w:rsidRPr="00ED0ACF">
        <w:t>the Defendant</w:t>
      </w:r>
      <w:r w:rsidR="00A54047" w:rsidRPr="00ED0ACF">
        <w:t xml:space="preserve"> </w:t>
      </w:r>
      <w:r w:rsidR="004F093F" w:rsidRPr="00ED0ACF">
        <w:t xml:space="preserve">entered into a contract when </w:t>
      </w:r>
      <w:r w:rsidR="00A54047" w:rsidRPr="00ED0ACF">
        <w:t>entering</w:t>
      </w:r>
      <w:r w:rsidR="004F093F" w:rsidRPr="00ED0ACF">
        <w:t xml:space="preserve"> the site, then the lack of sign at the entrance to the car park would mean a breach as soon as </w:t>
      </w:r>
      <w:r w:rsidR="006C62A1" w:rsidRPr="00ED0ACF">
        <w:t>the Defendant</w:t>
      </w:r>
      <w:r w:rsidR="007D5B88" w:rsidRPr="00ED0ACF">
        <w:t xml:space="preserve"> </w:t>
      </w:r>
      <w:r w:rsidR="004F093F" w:rsidRPr="00ED0ACF">
        <w:t xml:space="preserve">entered the site without any warning </w:t>
      </w:r>
      <w:r w:rsidRPr="00ED0ACF">
        <w:t xml:space="preserve">given the </w:t>
      </w:r>
      <w:r w:rsidR="00A54D96" w:rsidRPr="00ED0ACF">
        <w:t xml:space="preserve">partially </w:t>
      </w:r>
      <w:r w:rsidRPr="00ED0ACF">
        <w:t xml:space="preserve">removed sign, see </w:t>
      </w:r>
      <w:r w:rsidRPr="00ED0ACF">
        <w:rPr>
          <w:b/>
          <w:bCs/>
        </w:rPr>
        <w:t>[evidence]</w:t>
      </w:r>
      <w:r w:rsidRPr="00ED0ACF">
        <w:t xml:space="preserve"> </w:t>
      </w:r>
      <w:r w:rsidR="00A54047" w:rsidRPr="00ED0ACF">
        <w:t xml:space="preserve">– </w:t>
      </w:r>
      <w:r w:rsidR="004F093F" w:rsidRPr="00ED0ACF">
        <w:t xml:space="preserve">as </w:t>
      </w:r>
      <w:r w:rsidR="006C62A1" w:rsidRPr="00ED0ACF">
        <w:t>there</w:t>
      </w:r>
      <w:r w:rsidR="004F093F" w:rsidRPr="00ED0ACF">
        <w:t xml:space="preserve"> would not </w:t>
      </w:r>
      <w:r w:rsidR="006C62A1" w:rsidRPr="00ED0ACF">
        <w:t>be</w:t>
      </w:r>
      <w:r w:rsidR="004F093F" w:rsidRPr="00ED0ACF">
        <w:t xml:space="preserve"> </w:t>
      </w:r>
      <w:r w:rsidR="00A54047" w:rsidRPr="00ED0ACF">
        <w:t xml:space="preserve">any time to source a </w:t>
      </w:r>
      <w:r w:rsidR="004F093F" w:rsidRPr="00ED0ACF">
        <w:t xml:space="preserve">permit to display. </w:t>
      </w:r>
      <w:r w:rsidR="003F77BE" w:rsidRPr="00ED0ACF">
        <w:t>The inability to do this was not caused by any act or omission</w:t>
      </w:r>
      <w:r w:rsidR="00A54047" w:rsidRPr="00ED0ACF">
        <w:t xml:space="preserve"> on </w:t>
      </w:r>
      <w:r w:rsidR="006C62A1" w:rsidRPr="00ED0ACF">
        <w:t>the</w:t>
      </w:r>
      <w:r w:rsidR="00A54047" w:rsidRPr="00ED0ACF">
        <w:t xml:space="preserve"> part</w:t>
      </w:r>
      <w:r w:rsidR="006C62A1" w:rsidRPr="00ED0ACF">
        <w:t xml:space="preserve"> of the Defendant</w:t>
      </w:r>
      <w:r w:rsidR="003F77BE" w:rsidRPr="00ED0ACF">
        <w:t>, but b</w:t>
      </w:r>
      <w:r w:rsidR="00A54047" w:rsidRPr="00ED0ACF">
        <w:t>y</w:t>
      </w:r>
      <w:r w:rsidR="003F77BE" w:rsidRPr="00ED0ACF">
        <w:t xml:space="preserve"> a state of affairs over which </w:t>
      </w:r>
      <w:r w:rsidR="006C62A1" w:rsidRPr="00ED0ACF">
        <w:t>he</w:t>
      </w:r>
      <w:r w:rsidR="003F77BE" w:rsidRPr="00ED0ACF">
        <w:t xml:space="preserve"> had no control. Therefore, insofar as there was any contract between the parties, </w:t>
      </w:r>
      <w:r w:rsidR="006C62A1" w:rsidRPr="00ED0ACF">
        <w:t>the Defendant</w:t>
      </w:r>
      <w:r w:rsidR="003F77BE" w:rsidRPr="00ED0ACF">
        <w:t xml:space="preserve"> believe</w:t>
      </w:r>
      <w:r w:rsidR="006C62A1" w:rsidRPr="00ED0ACF">
        <w:t>s</w:t>
      </w:r>
      <w:r w:rsidR="003F77BE" w:rsidRPr="00ED0ACF">
        <w:t xml:space="preserve"> it was invalid under the doctrine of impossibility of performance.</w:t>
      </w:r>
    </w:p>
    <w:p w14:paraId="583EB163" w14:textId="6CAEE1BE" w:rsidR="00123714" w:rsidRDefault="00123714" w:rsidP="00123714">
      <w:pPr>
        <w:spacing w:after="210" w:line="240" w:lineRule="auto"/>
        <w:textAlignment w:val="baseline"/>
        <w:rPr>
          <w:rFonts w:ascii="inherit" w:eastAsia="Times New Roman" w:hAnsi="inherit" w:cs="Times New Roman"/>
          <w:sz w:val="21"/>
          <w:szCs w:val="21"/>
          <w:lang w:eastAsia="en-GB"/>
        </w:rPr>
      </w:pPr>
    </w:p>
    <w:p w14:paraId="165334F0" w14:textId="04A7D1C1" w:rsidR="00ED788C" w:rsidRDefault="00ED788C" w:rsidP="00ED788C">
      <w:pPr>
        <w:rPr>
          <w:b/>
          <w:bCs/>
          <w:u w:val="single"/>
        </w:rPr>
      </w:pPr>
      <w:r w:rsidRPr="00ED788C">
        <w:rPr>
          <w:b/>
          <w:bCs/>
          <w:u w:val="single"/>
        </w:rPr>
        <w:t>Inflated and false 'costs' have been added to the parking charge</w:t>
      </w:r>
    </w:p>
    <w:p w14:paraId="35269774" w14:textId="77777777" w:rsidR="00ED788C" w:rsidRPr="00ED788C" w:rsidRDefault="00ED788C" w:rsidP="00ED788C">
      <w:pPr>
        <w:rPr>
          <w:b/>
          <w:bCs/>
          <w:u w:val="single"/>
        </w:rPr>
      </w:pPr>
    </w:p>
    <w:p w14:paraId="350F8B05" w14:textId="1F9695B8" w:rsidR="00ED788C" w:rsidRPr="00ED788C" w:rsidRDefault="00ED788C" w:rsidP="00ED788C">
      <w:pPr>
        <w:pStyle w:val="ListParagraph"/>
        <w:numPr>
          <w:ilvl w:val="0"/>
          <w:numId w:val="1"/>
        </w:numPr>
      </w:pPr>
      <w:r w:rsidRPr="00ED788C">
        <w:t>The added £60 constitutes double recovery and the court is invited to find the quantum claimed is false and an abuse of process - see </w:t>
      </w:r>
      <w:r w:rsidRPr="00ED788C">
        <w:rPr>
          <w:b/>
          <w:bCs/>
        </w:rPr>
        <w:t>EXHIBIT</w:t>
      </w:r>
      <w:r w:rsidRPr="00ED788C">
        <w:t> - transcript of the Approved judgment in Britannia Parking v Crosby (Southampton Court 11</w:t>
      </w:r>
      <w:r>
        <w:t>/</w:t>
      </w:r>
      <w:r w:rsidRPr="00ED788C">
        <w:t>11</w:t>
      </w:r>
      <w:r>
        <w:t>/</w:t>
      </w:r>
      <w:r w:rsidRPr="00ED788C">
        <w:t>19). That case was not appealed and the decision in the case of Mr Crosby stands. This Claimant knew or should have known, that by adding £60 in false (unpaid) 'costs/damages' over and above the purpose of the 'parking charge' is unrecoverable, due to the POFA at 4(5), the Beavis case paras 98, 193 and 198, and para 419 of the earlier </w:t>
      </w:r>
      <w:proofErr w:type="spellStart"/>
      <w:r w:rsidRPr="00ED788C">
        <w:t>ParkingEye</w:t>
      </w:r>
      <w:proofErr w:type="spellEnd"/>
      <w:r w:rsidRPr="00ED788C">
        <w:t xml:space="preserve"> Ltd v Somerfield Court of Appeal authority. As an experienced parking operator, the Claimant should also know that the 60% uplift does not pass when compared to the CRA s62, expanded with examples of 'terms that are likely to be unfair' in Sch</w:t>
      </w:r>
      <w:r>
        <w:t>edule</w:t>
      </w:r>
      <w:r w:rsidRPr="00ED788C">
        <w:t xml:space="preserve"> 2 (para</w:t>
      </w:r>
      <w:r>
        <w:t>graph</w:t>
      </w:r>
      <w:r w:rsidRPr="00ED788C">
        <w:t>s 6, 10 and 14 appear to be breached in my case).    </w:t>
      </w:r>
    </w:p>
    <w:p w14:paraId="3055216C" w14:textId="77777777" w:rsidR="00ED788C" w:rsidRPr="00ED788C" w:rsidRDefault="00ED788C" w:rsidP="00ED788C"/>
    <w:p w14:paraId="4CF00792" w14:textId="22A73373" w:rsidR="00ED788C" w:rsidRPr="00ED788C" w:rsidRDefault="00ED788C" w:rsidP="00ED788C">
      <w:pPr>
        <w:pStyle w:val="ListParagraph"/>
        <w:numPr>
          <w:ilvl w:val="0"/>
          <w:numId w:val="1"/>
        </w:numPr>
      </w:pPr>
      <w:r w:rsidRPr="00ED788C">
        <w:t>This situation can be fully distinguished from </w:t>
      </w:r>
      <w:proofErr w:type="spellStart"/>
      <w:r w:rsidRPr="00ED788C">
        <w:t>ParkingEye</w:t>
      </w:r>
      <w:proofErr w:type="spellEnd"/>
      <w:r w:rsidRPr="00ED788C">
        <w:t xml:space="preserve"> Ltd v Beavis [2015] UKSC67, where the Supreme Court found that whilst the £85 was not (and was not pleaded as) a sum in the nature of damages or loss, </w:t>
      </w:r>
      <w:proofErr w:type="spellStart"/>
      <w:r w:rsidRPr="00ED788C">
        <w:t>ParkingEye</w:t>
      </w:r>
      <w:proofErr w:type="spellEnd"/>
      <w:r w:rsidRPr="00ED788C">
        <w:t xml:space="preserve"> had a 'legitimate interest' in enforcing the charge where motorists overstay, in order to deter motorists from occupying spaces beyond the time paid for and thus ensure further income for the landowner, by allowing other motorists to occupy the space. The Court concluded that the £85.00 charge was not out of proportion to the legitimate interest (in that case, based upon the facts and clear signs) and therefore the clause was not a penalty clause, when all the fact</w:t>
      </w:r>
      <w:r>
        <w:t>s</w:t>
      </w:r>
      <w:r w:rsidRPr="00ED788C">
        <w:t xml:space="preserve"> of that case were </w:t>
      </w:r>
      <w:r>
        <w:t>e</w:t>
      </w:r>
      <w:r w:rsidRPr="00ED788C">
        <w:t>xamined. However, there is no such legitimate interest in this case.</w:t>
      </w:r>
    </w:p>
    <w:p w14:paraId="2F5F55FD" w14:textId="77777777" w:rsidR="00ED788C" w:rsidRPr="00ED788C" w:rsidRDefault="00ED788C" w:rsidP="00ED788C"/>
    <w:p w14:paraId="77729E9A" w14:textId="723A6CE7" w:rsidR="00ED788C" w:rsidRPr="00ED788C" w:rsidRDefault="00ED788C" w:rsidP="00ED788C">
      <w:pPr>
        <w:pStyle w:val="ListParagraph"/>
        <w:numPr>
          <w:ilvl w:val="0"/>
          <w:numId w:val="1"/>
        </w:numPr>
      </w:pPr>
      <w:r w:rsidRPr="00ED788C">
        <w:t xml:space="preserve">I take the point that the enhanced parking charge in my case is a penalty, and unenforceable. This is just the sort of 'concealed pitfall or trap' and unsupported penalty that the Supreme Court had in mind when deciding what constitutes a (rare and unique case) 'justified' parking charge as opposed to an unconscionable one. I attach the </w:t>
      </w:r>
      <w:r w:rsidRPr="00ED788C">
        <w:lastRenderedPageBreak/>
        <w:t xml:space="preserve">Southampton Court Approved Judgment in Britannia Parking v Crosby and </w:t>
      </w:r>
      <w:proofErr w:type="spellStart"/>
      <w:r w:rsidRPr="00ED788C">
        <w:t>anor</w:t>
      </w:r>
      <w:proofErr w:type="spellEnd"/>
      <w:r>
        <w:t xml:space="preserve"> [</w:t>
      </w:r>
      <w:r w:rsidRPr="00ED788C">
        <w:rPr>
          <w:b/>
          <w:bCs/>
        </w:rPr>
        <w:t>exhibits</w:t>
      </w:r>
      <w:r>
        <w:t>]</w:t>
      </w:r>
      <w:r w:rsidRPr="00ED788C">
        <w:t>, where the question of enhancing a parking charge by a disproportionate percentage (for costs that were neither properly incurred nor additional to the core 'debt') was recently tested.</w:t>
      </w:r>
    </w:p>
    <w:p w14:paraId="033B7608" w14:textId="77777777" w:rsidR="00ED788C" w:rsidRPr="00ED788C" w:rsidRDefault="00ED788C" w:rsidP="00ED788C"/>
    <w:p w14:paraId="12FE7356" w14:textId="578F0918" w:rsidR="00ED788C" w:rsidRDefault="00ED788C" w:rsidP="00ED788C">
      <w:pPr>
        <w:pStyle w:val="ListParagraph"/>
        <w:numPr>
          <w:ilvl w:val="0"/>
          <w:numId w:val="1"/>
        </w:numPr>
      </w:pPr>
      <w:r w:rsidRPr="00ED788C">
        <w:t>Whilst it is known that another decision to strike out a parking claim was appealed to Salisbury Court (the </w:t>
      </w:r>
      <w:proofErr w:type="spellStart"/>
      <w:r w:rsidRPr="00ED788C">
        <w:t>Semark-Jullien</w:t>
      </w:r>
      <w:proofErr w:type="spellEnd"/>
      <w:r w:rsidRPr="00ED788C">
        <w:t> case), the parking industry did not get any</w:t>
      </w:r>
      <w:r>
        <w:t>where</w:t>
      </w:r>
      <w:r w:rsidRPr="00ED788C">
        <w:t xml:space="preserve"> finding one way or the other about the illegality of adding the same (unpaid and false) costs twice. The Appeal Judge merely pointed out that he felt that insufficient information was known about the facts of that case, where the Defendant had not appealed nor engaged with the process and no evidence was in play, unlike in the Crosby </w:t>
      </w:r>
      <w:r>
        <w:t>c</w:t>
      </w:r>
      <w:r w:rsidRPr="00ED788C">
        <w:t xml:space="preserve">ase. The Salisbury Appeal Judge merely listed the </w:t>
      </w:r>
      <w:proofErr w:type="spellStart"/>
      <w:r w:rsidRPr="00ED788C">
        <w:t>Semark-Jullien</w:t>
      </w:r>
      <w:proofErr w:type="spellEnd"/>
      <w:r w:rsidRPr="00ED788C">
        <w:t xml:space="preserve"> case for a hearing and felt that case (alone) should not have been summarily struck out due to a lack of any facts and evidence. In short, that was an appeal against the striking out as a 'draconian measure' and not - as this Claimant may have it - some sort of landmark appeal about the illegality of adding false sums to a parking charge.</w:t>
      </w:r>
    </w:p>
    <w:p w14:paraId="60CF7D15" w14:textId="77777777" w:rsidR="00ED788C" w:rsidRPr="00ED788C" w:rsidRDefault="00ED788C" w:rsidP="00ED788C"/>
    <w:p w14:paraId="116DE71F" w14:textId="72398471" w:rsidR="00ED788C" w:rsidRPr="00ED788C" w:rsidRDefault="00ED788C" w:rsidP="00ED788C">
      <w:pPr>
        <w:pStyle w:val="ListParagraph"/>
        <w:numPr>
          <w:ilvl w:val="0"/>
          <w:numId w:val="1"/>
        </w:numPr>
      </w:pPr>
      <w:r w:rsidRPr="00ED788C">
        <w:t xml:space="preserve">The Judge at Salisbury correctly identified that costs were not added in the Beavis case. True - but (unbeknown to the Salisbury Judge because the Appellant failed to draw the relevant case law to his attention) that had already been addressed in </w:t>
      </w:r>
      <w:proofErr w:type="spellStart"/>
      <w:r w:rsidRPr="00ED788C">
        <w:t>ParkingEye's</w:t>
      </w:r>
      <w:proofErr w:type="spellEnd"/>
      <w:r w:rsidRPr="00ED788C">
        <w:t xml:space="preserve"> earlier claim, the authority in </w:t>
      </w:r>
      <w:proofErr w:type="spellStart"/>
      <w:r w:rsidRPr="00ED788C">
        <w:t>ParkingEye</w:t>
      </w:r>
      <w:proofErr w:type="spellEnd"/>
      <w:r w:rsidRPr="00ED788C">
        <w:t xml:space="preserve"> v Somerfield [2011] EWHC 4023 (QB) High Court case (ratified by the Court of Appeal in 2012), ref </w:t>
      </w:r>
      <w:proofErr w:type="spellStart"/>
      <w:r w:rsidRPr="00ED788C">
        <w:t>par</w:t>
      </w:r>
      <w:r>
        <w:t>graph</w:t>
      </w:r>
      <w:proofErr w:type="spellEnd"/>
      <w:r w:rsidRPr="00ED788C">
        <w:t xml:space="preserve"> 419 from HHJ Hegarty:  </w:t>
      </w:r>
    </w:p>
    <w:p w14:paraId="323B5A3A" w14:textId="42D4DFB5" w:rsidR="00ED788C" w:rsidRPr="00DF246B" w:rsidRDefault="00ED788C" w:rsidP="00DF246B">
      <w:pPr>
        <w:ind w:left="360"/>
        <w:rPr>
          <w:i/>
          <w:iCs/>
        </w:rPr>
      </w:pPr>
      <w:r w:rsidRPr="00DF246B">
        <w:rPr>
          <w:i/>
          <w:iCs/>
        </w:rPr>
        <w:t xml:space="preserve">''It seems to me that, in the present case, it would be difficult for </w:t>
      </w:r>
      <w:proofErr w:type="spellStart"/>
      <w:r w:rsidRPr="00DF246B">
        <w:rPr>
          <w:i/>
          <w:iCs/>
        </w:rPr>
        <w:t>ParkingEye</w:t>
      </w:r>
      <w:proofErr w:type="spellEnd"/>
      <w:r w:rsidRPr="00DF246B">
        <w:rPr>
          <w:i/>
          <w:iCs/>
        </w:rPr>
        <w:t xml:space="preserve"> to justify, as against any motorist, a claim for payment of the enhanced sum of £135 if the motorist took the point that the additional £60 over and above the original figure of £75 constituted a penalty. It might be possible for </w:t>
      </w:r>
      <w:proofErr w:type="spellStart"/>
      <w:r w:rsidRPr="00DF246B">
        <w:rPr>
          <w:i/>
          <w:iCs/>
        </w:rPr>
        <w:t>ParkingEye</w:t>
      </w:r>
      <w:proofErr w:type="spellEnd"/>
      <w:r w:rsidRPr="00DF246B">
        <w:rPr>
          <w:i/>
          <w:iCs/>
        </w:rPr>
        <w:t xml:space="preserve"> to show that the additional administrative costs involved were substantial, though I very much doubt whether they would be able to justify this very large increase on that basis. On the face of it, it seems to me that the predominant contractual function of this additional payment must have been to deter the motorist from breaking his contractual obligation to pay the basic charge of £75 within the time specified, rather than to compensate </w:t>
      </w:r>
      <w:proofErr w:type="spellStart"/>
      <w:r w:rsidRPr="00DF246B">
        <w:rPr>
          <w:i/>
          <w:iCs/>
        </w:rPr>
        <w:t>ParkingEye</w:t>
      </w:r>
      <w:proofErr w:type="spellEnd"/>
      <w:r w:rsidRPr="00DF246B">
        <w:rPr>
          <w:i/>
          <w:iCs/>
        </w:rPr>
        <w:t xml:space="preserve"> for late payment. Applying the formula adopted by Colman J. in the </w:t>
      </w:r>
      <w:proofErr w:type="spellStart"/>
      <w:r w:rsidRPr="00DF246B">
        <w:rPr>
          <w:i/>
          <w:iCs/>
        </w:rPr>
        <w:t>Lordsvale</w:t>
      </w:r>
      <w:proofErr w:type="spellEnd"/>
      <w:r w:rsidRPr="00DF246B">
        <w:rPr>
          <w:i/>
          <w:iCs/>
        </w:rPr>
        <w:t xml:space="preserve"> case, therefore, the additional £60 would appear to be penal in nature; and it is well established that, in those circumstances, it cannot be recovered, though the other party would have at least a theoretical right to damages for breach of the primary obligation.''</w:t>
      </w:r>
    </w:p>
    <w:p w14:paraId="2A012948" w14:textId="77777777" w:rsidR="00ED788C" w:rsidRPr="00ED788C" w:rsidRDefault="00ED788C" w:rsidP="00ED788C"/>
    <w:p w14:paraId="09996A34" w14:textId="7087256B" w:rsidR="00ED788C" w:rsidRPr="00ED788C" w:rsidRDefault="00ED788C" w:rsidP="00ED788C">
      <w:pPr>
        <w:pStyle w:val="ListParagraph"/>
        <w:numPr>
          <w:ilvl w:val="0"/>
          <w:numId w:val="1"/>
        </w:numPr>
      </w:pPr>
      <w:r w:rsidRPr="00ED788C">
        <w:t xml:space="preserve">This stopped </w:t>
      </w:r>
      <w:proofErr w:type="spellStart"/>
      <w:r w:rsidRPr="00ED788C">
        <w:t>ParkingEye</w:t>
      </w:r>
      <w:proofErr w:type="spellEnd"/>
      <w:r w:rsidRPr="00ED788C">
        <w:t xml:space="preserve"> from using that business model again, particularly because HHJ Hegarty had found them to have committed the 'tort of deceit' by their aggressive and misleading debt demands, which appear to have been very similar to those I received.  Costs must already be included in the parking charge rationale if a parking operator wishes to base their model on the </w:t>
      </w:r>
      <w:proofErr w:type="spellStart"/>
      <w:r w:rsidRPr="00ED788C">
        <w:t>ParkingEye</w:t>
      </w:r>
      <w:proofErr w:type="spellEnd"/>
      <w:r w:rsidRPr="00ED788C">
        <w:t xml:space="preserve"> v Beavis case and not a damages/loss model.  This Claimant can't have both.  </w:t>
      </w:r>
    </w:p>
    <w:p w14:paraId="5FBA5F06" w14:textId="77777777" w:rsidR="00ED788C" w:rsidRPr="00ED788C" w:rsidRDefault="00ED788C" w:rsidP="00ED788C"/>
    <w:p w14:paraId="0C1715DC" w14:textId="4B120CFA" w:rsidR="00CD1E87" w:rsidRDefault="00ED788C" w:rsidP="00ED788C">
      <w:pPr>
        <w:pStyle w:val="ListParagraph"/>
        <w:numPr>
          <w:ilvl w:val="0"/>
          <w:numId w:val="1"/>
        </w:numPr>
      </w:pPr>
      <w:r w:rsidRPr="00ED788C">
        <w:lastRenderedPageBreak/>
        <w:t>It is certainly an abuse of process to add sums that were not incurred.</w:t>
      </w:r>
      <w:r w:rsidR="00DF246B">
        <w:t xml:space="preserve"> </w:t>
      </w:r>
      <w:r w:rsidRPr="00ED788C">
        <w:t xml:space="preserve">However, the Salisbury Appeal Judge was not informed by the Claimant's representative that these enhanced costs were known to be false, following thousands of claims heard by the Courts, where parking firms have been warned not to file claims like it again.  </w:t>
      </w:r>
      <w:r w:rsidRPr="00DF246B">
        <w:rPr>
          <w:b/>
          <w:bCs/>
        </w:rPr>
        <w:t>EXHIBIT</w:t>
      </w:r>
      <w:r w:rsidRPr="00ED788C">
        <w:t xml:space="preserve"> shows the exasperated words of District Judge Jones-Evans sitting at Caernarfon court in April 2020, when striking out a similar inflated claim by this Claimant's sister company, VCS, after warning parking company advocates over a 'very significant period of time' not to bring cases to court where the parking charge has been inflated by an unrecoverable sum of money dressed up as the costs that must already be within the parking charge itself. There can be no excuse that this Claimant, or their advocate, 'doesn't know' that adding false sums to inflate a claim is an abuse of process and the Salisbury Appeal case is entirely distinguished.</w:t>
      </w:r>
    </w:p>
    <w:p w14:paraId="0E88A2EC" w14:textId="77777777" w:rsidR="00F67CDB" w:rsidRPr="00ED788C" w:rsidRDefault="00F67CDB" w:rsidP="00F67CDB"/>
    <w:p w14:paraId="66EF019F" w14:textId="0C579A7F" w:rsidR="000E6B07" w:rsidRDefault="000E6B07" w:rsidP="001D164C">
      <w:pPr>
        <w:rPr>
          <w:b/>
          <w:bCs/>
          <w:u w:val="single"/>
        </w:rPr>
      </w:pPr>
      <w:r w:rsidRPr="001D164C">
        <w:rPr>
          <w:b/>
          <w:bCs/>
          <w:u w:val="single"/>
        </w:rPr>
        <w:t xml:space="preserve">My fixed witness costs </w:t>
      </w:r>
      <w:r w:rsidR="005136F1">
        <w:rPr>
          <w:b/>
          <w:bCs/>
          <w:u w:val="single"/>
        </w:rPr>
        <w:t xml:space="preserve">– </w:t>
      </w:r>
      <w:r w:rsidRPr="001D164C">
        <w:rPr>
          <w:b/>
          <w:bCs/>
          <w:u w:val="single"/>
        </w:rPr>
        <w:t>ref PD 27, 7.3(1) and CPR 27.14</w:t>
      </w:r>
    </w:p>
    <w:p w14:paraId="56DB2A23" w14:textId="77777777" w:rsidR="001D164C" w:rsidRPr="001D164C" w:rsidRDefault="001D164C" w:rsidP="001D164C">
      <w:pPr>
        <w:rPr>
          <w:b/>
          <w:bCs/>
          <w:u w:val="single"/>
        </w:rPr>
      </w:pPr>
    </w:p>
    <w:p w14:paraId="7A1E0FB1" w14:textId="7A48DDFE" w:rsidR="000E6B07" w:rsidRPr="001D164C" w:rsidRDefault="000E6B07" w:rsidP="00517EBB">
      <w:pPr>
        <w:pStyle w:val="ListParagraph"/>
        <w:numPr>
          <w:ilvl w:val="0"/>
          <w:numId w:val="1"/>
        </w:numPr>
      </w:pPr>
      <w:r w:rsidRPr="001D164C">
        <w:t>I ask the Court at the very least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plus the court may award a set amount allowable for loss of earnings or loss of leave.</w:t>
      </w:r>
    </w:p>
    <w:p w14:paraId="1AD8B281" w14:textId="77777777" w:rsidR="000E6B07" w:rsidRPr="001D164C" w:rsidRDefault="000E6B07" w:rsidP="001D164C"/>
    <w:p w14:paraId="0644CE37" w14:textId="13FC4602" w:rsidR="000E6B07" w:rsidRPr="001D164C" w:rsidRDefault="000E6B07" w:rsidP="00517EBB">
      <w:pPr>
        <w:pStyle w:val="ListParagraph"/>
        <w:numPr>
          <w:ilvl w:val="0"/>
          <w:numId w:val="1"/>
        </w:numPr>
      </w:pPr>
      <w:r w:rsidRPr="001D164C">
        <w:t>Travel costs do not apply for a telephone hearing but the fixed sum for loss of earnings/loss of leave apply to any hearing format and are fixed at PD 27, 7.3(1) ''The amounts which a party may be ordered to pay under rule 27.14(3)(c) (loss of earnings)... are: (1) for the loss of earnings or loss of leave of each party or witness due to attending a hearing ... a sum not exceeding £95 per day for each person.''</w:t>
      </w:r>
    </w:p>
    <w:p w14:paraId="18A7D52C" w14:textId="77777777" w:rsidR="000E6B07" w:rsidRPr="001D164C" w:rsidRDefault="000E6B07" w:rsidP="001D164C"/>
    <w:p w14:paraId="7D723ABA" w14:textId="496F0266" w:rsidR="000E6B07" w:rsidRDefault="005136F1" w:rsidP="001D164C">
      <w:pPr>
        <w:rPr>
          <w:b/>
          <w:bCs/>
          <w:u w:val="single"/>
        </w:rPr>
      </w:pPr>
      <w:r>
        <w:rPr>
          <w:b/>
          <w:bCs/>
          <w:u w:val="single"/>
        </w:rPr>
        <w:t>F</w:t>
      </w:r>
      <w:r w:rsidR="000E6B07" w:rsidRPr="001D164C">
        <w:rPr>
          <w:b/>
          <w:bCs/>
          <w:u w:val="single"/>
        </w:rPr>
        <w:t>urther costs for the wholly unreasonable conduct of this Claimant</w:t>
      </w:r>
      <w:r w:rsidRPr="005136F1">
        <w:rPr>
          <w:b/>
          <w:bCs/>
          <w:u w:val="single"/>
        </w:rPr>
        <w:t xml:space="preserve"> </w:t>
      </w:r>
      <w:r>
        <w:rPr>
          <w:b/>
          <w:bCs/>
          <w:u w:val="single"/>
        </w:rPr>
        <w:t xml:space="preserve">– </w:t>
      </w:r>
      <w:r w:rsidRPr="001D164C">
        <w:rPr>
          <w:b/>
          <w:bCs/>
          <w:u w:val="single"/>
        </w:rPr>
        <w:t>CPR 44.11</w:t>
      </w:r>
    </w:p>
    <w:p w14:paraId="75CBA4AF" w14:textId="77777777" w:rsidR="001D164C" w:rsidRPr="001D164C" w:rsidRDefault="001D164C" w:rsidP="001D164C">
      <w:pPr>
        <w:rPr>
          <w:b/>
          <w:bCs/>
          <w:u w:val="single"/>
        </w:rPr>
      </w:pPr>
    </w:p>
    <w:p w14:paraId="2243DDFE" w14:textId="049117F7" w:rsidR="000E6B07" w:rsidRPr="001D164C" w:rsidRDefault="000E6B07" w:rsidP="00517EBB">
      <w:pPr>
        <w:pStyle w:val="ListParagraph"/>
        <w:numPr>
          <w:ilvl w:val="0"/>
          <w:numId w:val="1"/>
        </w:numPr>
      </w:pPr>
      <w:r w:rsidRPr="001D164C">
        <w:t>As a litigant-in-person</w:t>
      </w:r>
      <w:r w:rsidR="001D164C">
        <w:t>,</w:t>
      </w:r>
      <w:r w:rsidRPr="001D164C">
        <w:t xml:space="preserve"> I have had to learn relevant law from the ground up and spent a considerable time researching the law online, processing and preparing my defence plus this witness statement</w:t>
      </w:r>
      <w:r w:rsidR="001D164C">
        <w:t xml:space="preserve"> and related materials</w:t>
      </w:r>
      <w:r w:rsidRPr="001D164C">
        <w:t>. </w:t>
      </w:r>
      <w:r w:rsidR="001D164C">
        <w:t>My personal</w:t>
      </w:r>
      <w:r w:rsidRPr="001D164C">
        <w:t xml:space="preserve"> life has been severely impacted and this matter has been hanging over me for </w:t>
      </w:r>
      <w:r w:rsidR="001D164C">
        <w:t>2 years</w:t>
      </w:r>
      <w:r w:rsidRPr="001D164C">
        <w:t xml:space="preserve">. I am appending with this bundle, a fully detailed costs assessment </w:t>
      </w:r>
      <w:r w:rsidR="00E75889">
        <w:t>that</w:t>
      </w:r>
      <w:r w:rsidRPr="001D164C">
        <w:t xml:space="preserve"> also covers my proportionate further costs and I invite the court to consider making an award to include these, pursuant to the court's powers in relation to misconduct (CPR 44.11).</w:t>
      </w:r>
      <w:r w:rsidR="00E75889">
        <w:t xml:space="preserve"> </w:t>
      </w:r>
      <w:r w:rsidRPr="001D164C">
        <w:t xml:space="preserve">Not only could this claim have been avoided and the Claimant has no cause of action and no legitimate interest in pursuing </w:t>
      </w:r>
      <w:r w:rsidR="00E75889">
        <w:t>me</w:t>
      </w:r>
      <w:r w:rsidRPr="001D164C">
        <w:t xml:space="preserve">, relying upon the entrapment of </w:t>
      </w:r>
      <w:r w:rsidR="00E75889">
        <w:t>insufficient</w:t>
      </w:r>
      <w:r w:rsidRPr="001D164C">
        <w:t xml:space="preserve"> sign</w:t>
      </w:r>
      <w:r w:rsidR="00E75889">
        <w:t xml:space="preserve">age, </w:t>
      </w:r>
      <w:r w:rsidRPr="001D164C">
        <w:t>but it is also vexatious to pursue an inflated sum that includes double recovery.  It is my position that the Claimant's conduct in pre-and post-litigation has crossed the line of unreasonable conduct.</w:t>
      </w:r>
    </w:p>
    <w:p w14:paraId="42671234" w14:textId="77777777" w:rsidR="00502BC0" w:rsidRPr="001D164C" w:rsidRDefault="00502BC0" w:rsidP="001D164C"/>
    <w:p w14:paraId="2DB107BB" w14:textId="4C7371A0" w:rsidR="005B1004" w:rsidRPr="00E75889" w:rsidRDefault="00426648" w:rsidP="00517EBB">
      <w:pPr>
        <w:pStyle w:val="ListParagraph"/>
        <w:numPr>
          <w:ilvl w:val="0"/>
          <w:numId w:val="1"/>
        </w:numPr>
      </w:pPr>
      <w:r>
        <w:lastRenderedPageBreak/>
        <w:t>I Invite the Court to dismiss this claim in its entirety, and to awar</w:t>
      </w:r>
      <w:r w:rsidR="008852CE">
        <w:t>d</w:t>
      </w:r>
      <w:r>
        <w:t xml:space="preserve"> my costs of attendance at the hearing, as such as are allowable pursuant to CPR 27.14, see </w:t>
      </w:r>
      <w:proofErr w:type="spellStart"/>
      <w:r w:rsidRPr="00502BC0">
        <w:rPr>
          <w:b/>
          <w:bCs/>
        </w:rPr>
        <w:t>xxxx</w:t>
      </w:r>
      <w:proofErr w:type="spellEnd"/>
      <w:r>
        <w:t>.</w:t>
      </w:r>
    </w:p>
    <w:p w14:paraId="011AAB07" w14:textId="771FE6BC" w:rsidR="005E1B88" w:rsidRDefault="005E1B88"/>
    <w:p w14:paraId="1DE3A72C" w14:textId="19EA71D2" w:rsidR="005E1B88" w:rsidRPr="005E1B88" w:rsidRDefault="005E1B88">
      <w:pPr>
        <w:rPr>
          <w:b/>
          <w:bCs/>
        </w:rPr>
      </w:pPr>
      <w:r w:rsidRPr="005E1B88">
        <w:rPr>
          <w:b/>
          <w:bCs/>
        </w:rPr>
        <w:t>Statement of Truth</w:t>
      </w:r>
    </w:p>
    <w:p w14:paraId="7A79843C" w14:textId="66953155" w:rsidR="005E1B88" w:rsidRDefault="00B25A24">
      <w:r w:rsidRPr="00B25A24">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14:paraId="133B88EC" w14:textId="521D53BD" w:rsidR="005E1B88" w:rsidRDefault="005E1B88"/>
    <w:p w14:paraId="4A225A51" w14:textId="6F5E065F" w:rsidR="005E1B88" w:rsidRDefault="005E1B88">
      <w:r>
        <w:t>Defendant’s signature:</w:t>
      </w:r>
    </w:p>
    <w:p w14:paraId="05274F98" w14:textId="1A2153F3" w:rsidR="005E1B88" w:rsidRDefault="005E1B88">
      <w:r>
        <w:t>Defendant’s name:</w:t>
      </w:r>
    </w:p>
    <w:p w14:paraId="0B9E511F" w14:textId="207EE73A" w:rsidR="005E1B88" w:rsidRDefault="005E1B88">
      <w:r>
        <w:t>Date</w:t>
      </w:r>
    </w:p>
    <w:sectPr w:rsidR="005E1B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D6D76"/>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FF71CFF"/>
    <w:multiLevelType w:val="hybridMultilevel"/>
    <w:tmpl w:val="21868E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910A3C"/>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48C546E"/>
    <w:multiLevelType w:val="hybridMultilevel"/>
    <w:tmpl w:val="A0E29D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325F14"/>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EE23E00"/>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FE77E7B"/>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7DA448CC"/>
    <w:multiLevelType w:val="multilevel"/>
    <w:tmpl w:val="26B4377E"/>
    <w:lvl w:ilvl="0">
      <w:start w:val="1"/>
      <w:numFmt w:val="decimal"/>
      <w:lvlText w:val="%1."/>
      <w:lvlJc w:val="left"/>
      <w:pPr>
        <w:ind w:left="720" w:hanging="360"/>
      </w:pPr>
      <w:rPr>
        <w:rFonts w:hint="default"/>
        <w:b w:val="0"/>
        <w:bCs w:val="0"/>
        <w:i w:val="0"/>
        <w:iCs w:val="0"/>
      </w:rPr>
    </w:lvl>
    <w:lvl w:ilvl="1">
      <w:start w:val="1"/>
      <w:numFmt w:val="decimal"/>
      <w:isLgl/>
      <w:lvlText w:val="%1.%2."/>
      <w:lvlJc w:val="left"/>
      <w:pPr>
        <w:ind w:left="795" w:hanging="435"/>
      </w:pPr>
      <w:rPr>
        <w:rFonts w:hint="default"/>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7"/>
  </w:num>
  <w:num w:numId="2">
    <w:abstractNumId w:val="1"/>
  </w:num>
  <w:num w:numId="3">
    <w:abstractNumId w:val="4"/>
  </w:num>
  <w:num w:numId="4">
    <w:abstractNumId w:val="0"/>
  </w:num>
  <w:num w:numId="5">
    <w:abstractNumId w:val="2"/>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B88"/>
    <w:rsid w:val="00053833"/>
    <w:rsid w:val="000952E8"/>
    <w:rsid w:val="000C1420"/>
    <w:rsid w:val="000C182B"/>
    <w:rsid w:val="000C6D16"/>
    <w:rsid w:val="000E6B07"/>
    <w:rsid w:val="001121E3"/>
    <w:rsid w:val="00114A44"/>
    <w:rsid w:val="00123714"/>
    <w:rsid w:val="00132277"/>
    <w:rsid w:val="001B017D"/>
    <w:rsid w:val="001C1AB0"/>
    <w:rsid w:val="001D164C"/>
    <w:rsid w:val="001F70E8"/>
    <w:rsid w:val="00225650"/>
    <w:rsid w:val="0024479C"/>
    <w:rsid w:val="00271EFA"/>
    <w:rsid w:val="00280E3B"/>
    <w:rsid w:val="002C19BF"/>
    <w:rsid w:val="002C7763"/>
    <w:rsid w:val="0030765D"/>
    <w:rsid w:val="00332489"/>
    <w:rsid w:val="003343BC"/>
    <w:rsid w:val="003509D3"/>
    <w:rsid w:val="003A358B"/>
    <w:rsid w:val="003F77BE"/>
    <w:rsid w:val="00410214"/>
    <w:rsid w:val="00426648"/>
    <w:rsid w:val="004F093F"/>
    <w:rsid w:val="00502BC0"/>
    <w:rsid w:val="005136F1"/>
    <w:rsid w:val="00517EBB"/>
    <w:rsid w:val="005714F0"/>
    <w:rsid w:val="005B1004"/>
    <w:rsid w:val="005C70A7"/>
    <w:rsid w:val="005D08A3"/>
    <w:rsid w:val="005E1B88"/>
    <w:rsid w:val="00623E09"/>
    <w:rsid w:val="006406FE"/>
    <w:rsid w:val="006B2F8D"/>
    <w:rsid w:val="006C62A1"/>
    <w:rsid w:val="006C78D0"/>
    <w:rsid w:val="006E0F3C"/>
    <w:rsid w:val="007A6543"/>
    <w:rsid w:val="007B618F"/>
    <w:rsid w:val="007B7749"/>
    <w:rsid w:val="007D4EFE"/>
    <w:rsid w:val="007D5B88"/>
    <w:rsid w:val="007F47BE"/>
    <w:rsid w:val="00841980"/>
    <w:rsid w:val="008852CE"/>
    <w:rsid w:val="008B5D95"/>
    <w:rsid w:val="008E4B69"/>
    <w:rsid w:val="008F149F"/>
    <w:rsid w:val="00904ACB"/>
    <w:rsid w:val="0094588E"/>
    <w:rsid w:val="00961CFD"/>
    <w:rsid w:val="00A04F37"/>
    <w:rsid w:val="00A1092C"/>
    <w:rsid w:val="00A13520"/>
    <w:rsid w:val="00A37659"/>
    <w:rsid w:val="00A42A15"/>
    <w:rsid w:val="00A54047"/>
    <w:rsid w:val="00A54D96"/>
    <w:rsid w:val="00A8417A"/>
    <w:rsid w:val="00AA7990"/>
    <w:rsid w:val="00AC667C"/>
    <w:rsid w:val="00B03709"/>
    <w:rsid w:val="00B25A24"/>
    <w:rsid w:val="00BE5C09"/>
    <w:rsid w:val="00BE74FE"/>
    <w:rsid w:val="00C45989"/>
    <w:rsid w:val="00C65137"/>
    <w:rsid w:val="00C66195"/>
    <w:rsid w:val="00C97805"/>
    <w:rsid w:val="00CD1E87"/>
    <w:rsid w:val="00CD4B16"/>
    <w:rsid w:val="00D34796"/>
    <w:rsid w:val="00D60C3A"/>
    <w:rsid w:val="00D7278D"/>
    <w:rsid w:val="00D85563"/>
    <w:rsid w:val="00DA4BF9"/>
    <w:rsid w:val="00DC569C"/>
    <w:rsid w:val="00DF246B"/>
    <w:rsid w:val="00E00334"/>
    <w:rsid w:val="00E75889"/>
    <w:rsid w:val="00EC43B0"/>
    <w:rsid w:val="00ED0ACF"/>
    <w:rsid w:val="00ED788C"/>
    <w:rsid w:val="00F21080"/>
    <w:rsid w:val="00F27430"/>
    <w:rsid w:val="00F46189"/>
    <w:rsid w:val="00F67CDB"/>
    <w:rsid w:val="00FB0DEE"/>
    <w:rsid w:val="00FF1E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6F6F8"/>
  <w15:chartTrackingRefBased/>
  <w15:docId w15:val="{9CB32CA0-60F4-4A14-A41D-4DDB1D452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B88"/>
    <w:pPr>
      <w:ind w:left="720"/>
      <w:contextualSpacing/>
    </w:pPr>
  </w:style>
  <w:style w:type="paragraph" w:styleId="NormalWeb">
    <w:name w:val="Normal (Web)"/>
    <w:basedOn w:val="Normal"/>
    <w:uiPriority w:val="99"/>
    <w:semiHidden/>
    <w:unhideWhenUsed/>
    <w:rsid w:val="005B100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48751">
      <w:bodyDiv w:val="1"/>
      <w:marLeft w:val="0"/>
      <w:marRight w:val="0"/>
      <w:marTop w:val="0"/>
      <w:marBottom w:val="0"/>
      <w:divBdr>
        <w:top w:val="none" w:sz="0" w:space="0" w:color="auto"/>
        <w:left w:val="none" w:sz="0" w:space="0" w:color="auto"/>
        <w:bottom w:val="none" w:sz="0" w:space="0" w:color="auto"/>
        <w:right w:val="none" w:sz="0" w:space="0" w:color="auto"/>
      </w:divBdr>
    </w:div>
    <w:div w:id="465316768">
      <w:bodyDiv w:val="1"/>
      <w:marLeft w:val="0"/>
      <w:marRight w:val="0"/>
      <w:marTop w:val="0"/>
      <w:marBottom w:val="0"/>
      <w:divBdr>
        <w:top w:val="none" w:sz="0" w:space="0" w:color="auto"/>
        <w:left w:val="none" w:sz="0" w:space="0" w:color="auto"/>
        <w:bottom w:val="none" w:sz="0" w:space="0" w:color="auto"/>
        <w:right w:val="none" w:sz="0" w:space="0" w:color="auto"/>
      </w:divBdr>
    </w:div>
    <w:div w:id="595984414">
      <w:bodyDiv w:val="1"/>
      <w:marLeft w:val="0"/>
      <w:marRight w:val="0"/>
      <w:marTop w:val="0"/>
      <w:marBottom w:val="0"/>
      <w:divBdr>
        <w:top w:val="none" w:sz="0" w:space="0" w:color="auto"/>
        <w:left w:val="none" w:sz="0" w:space="0" w:color="auto"/>
        <w:bottom w:val="none" w:sz="0" w:space="0" w:color="auto"/>
        <w:right w:val="none" w:sz="0" w:space="0" w:color="auto"/>
      </w:divBdr>
    </w:div>
    <w:div w:id="661541456">
      <w:bodyDiv w:val="1"/>
      <w:marLeft w:val="0"/>
      <w:marRight w:val="0"/>
      <w:marTop w:val="0"/>
      <w:marBottom w:val="0"/>
      <w:divBdr>
        <w:top w:val="none" w:sz="0" w:space="0" w:color="auto"/>
        <w:left w:val="none" w:sz="0" w:space="0" w:color="auto"/>
        <w:bottom w:val="none" w:sz="0" w:space="0" w:color="auto"/>
        <w:right w:val="none" w:sz="0" w:space="0" w:color="auto"/>
      </w:divBdr>
    </w:div>
    <w:div w:id="1026901950">
      <w:bodyDiv w:val="1"/>
      <w:marLeft w:val="0"/>
      <w:marRight w:val="0"/>
      <w:marTop w:val="0"/>
      <w:marBottom w:val="0"/>
      <w:divBdr>
        <w:top w:val="none" w:sz="0" w:space="0" w:color="auto"/>
        <w:left w:val="none" w:sz="0" w:space="0" w:color="auto"/>
        <w:bottom w:val="none" w:sz="0" w:space="0" w:color="auto"/>
        <w:right w:val="none" w:sz="0" w:space="0" w:color="auto"/>
      </w:divBdr>
      <w:divsChild>
        <w:div w:id="318309543">
          <w:marLeft w:val="0"/>
          <w:marRight w:val="0"/>
          <w:marTop w:val="0"/>
          <w:marBottom w:val="210"/>
          <w:divBdr>
            <w:top w:val="none" w:sz="0" w:space="0" w:color="auto"/>
            <w:left w:val="none" w:sz="0" w:space="0" w:color="auto"/>
            <w:bottom w:val="none" w:sz="0" w:space="0" w:color="auto"/>
            <w:right w:val="none" w:sz="0" w:space="0" w:color="auto"/>
          </w:divBdr>
        </w:div>
        <w:div w:id="121575940">
          <w:marLeft w:val="0"/>
          <w:marRight w:val="0"/>
          <w:marTop w:val="0"/>
          <w:marBottom w:val="210"/>
          <w:divBdr>
            <w:top w:val="none" w:sz="0" w:space="0" w:color="auto"/>
            <w:left w:val="none" w:sz="0" w:space="0" w:color="auto"/>
            <w:bottom w:val="none" w:sz="0" w:space="0" w:color="auto"/>
            <w:right w:val="none" w:sz="0" w:space="0" w:color="auto"/>
          </w:divBdr>
        </w:div>
        <w:div w:id="267589314">
          <w:marLeft w:val="0"/>
          <w:marRight w:val="0"/>
          <w:marTop w:val="0"/>
          <w:marBottom w:val="210"/>
          <w:divBdr>
            <w:top w:val="none" w:sz="0" w:space="0" w:color="auto"/>
            <w:left w:val="none" w:sz="0" w:space="0" w:color="auto"/>
            <w:bottom w:val="none" w:sz="0" w:space="0" w:color="auto"/>
            <w:right w:val="none" w:sz="0" w:space="0" w:color="auto"/>
          </w:divBdr>
        </w:div>
        <w:div w:id="740373134">
          <w:marLeft w:val="0"/>
          <w:marRight w:val="0"/>
          <w:marTop w:val="0"/>
          <w:marBottom w:val="210"/>
          <w:divBdr>
            <w:top w:val="none" w:sz="0" w:space="0" w:color="auto"/>
            <w:left w:val="none" w:sz="0" w:space="0" w:color="auto"/>
            <w:bottom w:val="none" w:sz="0" w:space="0" w:color="auto"/>
            <w:right w:val="none" w:sz="0" w:space="0" w:color="auto"/>
          </w:divBdr>
        </w:div>
        <w:div w:id="2080665543">
          <w:marLeft w:val="0"/>
          <w:marRight w:val="0"/>
          <w:marTop w:val="0"/>
          <w:marBottom w:val="210"/>
          <w:divBdr>
            <w:top w:val="none" w:sz="0" w:space="0" w:color="auto"/>
            <w:left w:val="none" w:sz="0" w:space="0" w:color="auto"/>
            <w:bottom w:val="none" w:sz="0" w:space="0" w:color="auto"/>
            <w:right w:val="none" w:sz="0" w:space="0" w:color="auto"/>
          </w:divBdr>
        </w:div>
        <w:div w:id="1060831817">
          <w:marLeft w:val="0"/>
          <w:marRight w:val="0"/>
          <w:marTop w:val="0"/>
          <w:marBottom w:val="210"/>
          <w:divBdr>
            <w:top w:val="none" w:sz="0" w:space="0" w:color="auto"/>
            <w:left w:val="none" w:sz="0" w:space="0" w:color="auto"/>
            <w:bottom w:val="none" w:sz="0" w:space="0" w:color="auto"/>
            <w:right w:val="none" w:sz="0" w:space="0" w:color="auto"/>
          </w:divBdr>
        </w:div>
        <w:div w:id="849443243">
          <w:marLeft w:val="0"/>
          <w:marRight w:val="0"/>
          <w:marTop w:val="0"/>
          <w:marBottom w:val="210"/>
          <w:divBdr>
            <w:top w:val="none" w:sz="0" w:space="0" w:color="auto"/>
            <w:left w:val="none" w:sz="0" w:space="0" w:color="auto"/>
            <w:bottom w:val="none" w:sz="0" w:space="0" w:color="auto"/>
            <w:right w:val="none" w:sz="0" w:space="0" w:color="auto"/>
          </w:divBdr>
        </w:div>
        <w:div w:id="926303232">
          <w:marLeft w:val="0"/>
          <w:marRight w:val="0"/>
          <w:marTop w:val="0"/>
          <w:marBottom w:val="210"/>
          <w:divBdr>
            <w:top w:val="none" w:sz="0" w:space="0" w:color="auto"/>
            <w:left w:val="none" w:sz="0" w:space="0" w:color="auto"/>
            <w:bottom w:val="none" w:sz="0" w:space="0" w:color="auto"/>
            <w:right w:val="none" w:sz="0" w:space="0" w:color="auto"/>
          </w:divBdr>
        </w:div>
        <w:div w:id="1239249252">
          <w:marLeft w:val="0"/>
          <w:marRight w:val="0"/>
          <w:marTop w:val="0"/>
          <w:marBottom w:val="210"/>
          <w:divBdr>
            <w:top w:val="none" w:sz="0" w:space="0" w:color="auto"/>
            <w:left w:val="none" w:sz="0" w:space="0" w:color="auto"/>
            <w:bottom w:val="none" w:sz="0" w:space="0" w:color="auto"/>
            <w:right w:val="none" w:sz="0" w:space="0" w:color="auto"/>
          </w:divBdr>
        </w:div>
        <w:div w:id="650671291">
          <w:marLeft w:val="0"/>
          <w:marRight w:val="0"/>
          <w:marTop w:val="0"/>
          <w:marBottom w:val="210"/>
          <w:divBdr>
            <w:top w:val="none" w:sz="0" w:space="0" w:color="auto"/>
            <w:left w:val="none" w:sz="0" w:space="0" w:color="auto"/>
            <w:bottom w:val="none" w:sz="0" w:space="0" w:color="auto"/>
            <w:right w:val="none" w:sz="0" w:space="0" w:color="auto"/>
          </w:divBdr>
        </w:div>
        <w:div w:id="1572275801">
          <w:marLeft w:val="0"/>
          <w:marRight w:val="0"/>
          <w:marTop w:val="0"/>
          <w:marBottom w:val="210"/>
          <w:divBdr>
            <w:top w:val="none" w:sz="0" w:space="0" w:color="auto"/>
            <w:left w:val="none" w:sz="0" w:space="0" w:color="auto"/>
            <w:bottom w:val="none" w:sz="0" w:space="0" w:color="auto"/>
            <w:right w:val="none" w:sz="0" w:space="0" w:color="auto"/>
          </w:divBdr>
        </w:div>
        <w:div w:id="552810674">
          <w:marLeft w:val="0"/>
          <w:marRight w:val="0"/>
          <w:marTop w:val="0"/>
          <w:marBottom w:val="210"/>
          <w:divBdr>
            <w:top w:val="none" w:sz="0" w:space="0" w:color="auto"/>
            <w:left w:val="none" w:sz="0" w:space="0" w:color="auto"/>
            <w:bottom w:val="none" w:sz="0" w:space="0" w:color="auto"/>
            <w:right w:val="none" w:sz="0" w:space="0" w:color="auto"/>
          </w:divBdr>
        </w:div>
        <w:div w:id="688063688">
          <w:marLeft w:val="0"/>
          <w:marRight w:val="0"/>
          <w:marTop w:val="0"/>
          <w:marBottom w:val="210"/>
          <w:divBdr>
            <w:top w:val="none" w:sz="0" w:space="0" w:color="auto"/>
            <w:left w:val="none" w:sz="0" w:space="0" w:color="auto"/>
            <w:bottom w:val="none" w:sz="0" w:space="0" w:color="auto"/>
            <w:right w:val="none" w:sz="0" w:space="0" w:color="auto"/>
          </w:divBdr>
        </w:div>
        <w:div w:id="1842549566">
          <w:marLeft w:val="0"/>
          <w:marRight w:val="0"/>
          <w:marTop w:val="0"/>
          <w:marBottom w:val="210"/>
          <w:divBdr>
            <w:top w:val="none" w:sz="0" w:space="0" w:color="auto"/>
            <w:left w:val="none" w:sz="0" w:space="0" w:color="auto"/>
            <w:bottom w:val="none" w:sz="0" w:space="0" w:color="auto"/>
            <w:right w:val="none" w:sz="0" w:space="0" w:color="auto"/>
          </w:divBdr>
        </w:div>
        <w:div w:id="820778829">
          <w:marLeft w:val="0"/>
          <w:marRight w:val="0"/>
          <w:marTop w:val="0"/>
          <w:marBottom w:val="210"/>
          <w:divBdr>
            <w:top w:val="none" w:sz="0" w:space="0" w:color="auto"/>
            <w:left w:val="none" w:sz="0" w:space="0" w:color="auto"/>
            <w:bottom w:val="none" w:sz="0" w:space="0" w:color="auto"/>
            <w:right w:val="none" w:sz="0" w:space="0" w:color="auto"/>
          </w:divBdr>
        </w:div>
        <w:div w:id="1884560565">
          <w:marLeft w:val="0"/>
          <w:marRight w:val="0"/>
          <w:marTop w:val="0"/>
          <w:marBottom w:val="210"/>
          <w:divBdr>
            <w:top w:val="none" w:sz="0" w:space="0" w:color="auto"/>
            <w:left w:val="none" w:sz="0" w:space="0" w:color="auto"/>
            <w:bottom w:val="none" w:sz="0" w:space="0" w:color="auto"/>
            <w:right w:val="none" w:sz="0" w:space="0" w:color="auto"/>
          </w:divBdr>
        </w:div>
        <w:div w:id="1403793421">
          <w:marLeft w:val="0"/>
          <w:marRight w:val="0"/>
          <w:marTop w:val="0"/>
          <w:marBottom w:val="210"/>
          <w:divBdr>
            <w:top w:val="none" w:sz="0" w:space="0" w:color="auto"/>
            <w:left w:val="none" w:sz="0" w:space="0" w:color="auto"/>
            <w:bottom w:val="none" w:sz="0" w:space="0" w:color="auto"/>
            <w:right w:val="none" w:sz="0" w:space="0" w:color="auto"/>
          </w:divBdr>
        </w:div>
        <w:div w:id="1955672737">
          <w:marLeft w:val="0"/>
          <w:marRight w:val="0"/>
          <w:marTop w:val="0"/>
          <w:marBottom w:val="210"/>
          <w:divBdr>
            <w:top w:val="none" w:sz="0" w:space="0" w:color="auto"/>
            <w:left w:val="none" w:sz="0" w:space="0" w:color="auto"/>
            <w:bottom w:val="none" w:sz="0" w:space="0" w:color="auto"/>
            <w:right w:val="none" w:sz="0" w:space="0" w:color="auto"/>
          </w:divBdr>
        </w:div>
        <w:div w:id="1686594068">
          <w:marLeft w:val="0"/>
          <w:marRight w:val="0"/>
          <w:marTop w:val="0"/>
          <w:marBottom w:val="210"/>
          <w:divBdr>
            <w:top w:val="none" w:sz="0" w:space="0" w:color="auto"/>
            <w:left w:val="none" w:sz="0" w:space="0" w:color="auto"/>
            <w:bottom w:val="none" w:sz="0" w:space="0" w:color="auto"/>
            <w:right w:val="none" w:sz="0" w:space="0" w:color="auto"/>
          </w:divBdr>
        </w:div>
        <w:div w:id="1281104637">
          <w:marLeft w:val="0"/>
          <w:marRight w:val="0"/>
          <w:marTop w:val="0"/>
          <w:marBottom w:val="210"/>
          <w:divBdr>
            <w:top w:val="none" w:sz="0" w:space="0" w:color="auto"/>
            <w:left w:val="none" w:sz="0" w:space="0" w:color="auto"/>
            <w:bottom w:val="none" w:sz="0" w:space="0" w:color="auto"/>
            <w:right w:val="none" w:sz="0" w:space="0" w:color="auto"/>
          </w:divBdr>
        </w:div>
        <w:div w:id="2104372164">
          <w:marLeft w:val="0"/>
          <w:marRight w:val="0"/>
          <w:marTop w:val="0"/>
          <w:marBottom w:val="210"/>
          <w:divBdr>
            <w:top w:val="none" w:sz="0" w:space="0" w:color="auto"/>
            <w:left w:val="none" w:sz="0" w:space="0" w:color="auto"/>
            <w:bottom w:val="none" w:sz="0" w:space="0" w:color="auto"/>
            <w:right w:val="none" w:sz="0" w:space="0" w:color="auto"/>
          </w:divBdr>
        </w:div>
        <w:div w:id="35084037">
          <w:marLeft w:val="0"/>
          <w:marRight w:val="0"/>
          <w:marTop w:val="0"/>
          <w:marBottom w:val="210"/>
          <w:divBdr>
            <w:top w:val="none" w:sz="0" w:space="0" w:color="auto"/>
            <w:left w:val="none" w:sz="0" w:space="0" w:color="auto"/>
            <w:bottom w:val="none" w:sz="0" w:space="0" w:color="auto"/>
            <w:right w:val="none" w:sz="0" w:space="0" w:color="auto"/>
          </w:divBdr>
        </w:div>
      </w:divsChild>
    </w:div>
    <w:div w:id="1235120675">
      <w:bodyDiv w:val="1"/>
      <w:marLeft w:val="0"/>
      <w:marRight w:val="0"/>
      <w:marTop w:val="0"/>
      <w:marBottom w:val="0"/>
      <w:divBdr>
        <w:top w:val="none" w:sz="0" w:space="0" w:color="auto"/>
        <w:left w:val="none" w:sz="0" w:space="0" w:color="auto"/>
        <w:bottom w:val="none" w:sz="0" w:space="0" w:color="auto"/>
        <w:right w:val="none" w:sz="0" w:space="0" w:color="auto"/>
      </w:divBdr>
    </w:div>
    <w:div w:id="183398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8</Pages>
  <Words>3003</Words>
  <Characters>17120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Rio</dc:creator>
  <cp:keywords/>
  <dc:description/>
  <cp:lastModifiedBy>Jon Rio</cp:lastModifiedBy>
  <cp:revision>12</cp:revision>
  <dcterms:created xsi:type="dcterms:W3CDTF">2020-09-17T12:00:00Z</dcterms:created>
  <dcterms:modified xsi:type="dcterms:W3CDTF">2020-09-17T13:36:00Z</dcterms:modified>
</cp:coreProperties>
</file>