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Default Extension="gif" ContentType="image/gif"/>
  <Default Extension="jpg" ContentType="image/jpeg"/>
  <Default Extension="jpeg" ContentType="image/jpeg"/>
  <Default Extension="png" ContentType="image/png"/>
  <Default Extension="tiff" ContentType="image/tiff"/>
  <Default Extension="emf" ContentType="image/x-emf"/>
  <Default Extension="wmf" ContentType="image/x-wmf"/>
  <Override PartName="/word/theme/theme1.xml" ContentType="application/vnd.openxmlformats-officedocument.them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body>
    <w:p w:rsidR="00000000" w:rsidDel="00000000" w:rsidRDefault="00000000" w14:paraId="00000001"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highlight w:val="white"/>
        </w:rPr>
        <w:t>In the County Court at Canterbury</w:t>
      </w:r>
    </w:p>
    <w:p w:rsidR="00000000" w:rsidDel="00000000" w:rsidRDefault="00000000" w14:paraId="00000002"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highlight w:val="white"/>
        </w:rPr>
        <w:t>Claim No. XXXXXXX</w:t>
      </w:r>
    </w:p>
    <w:p w:rsidR="00000000" w:rsidDel="00000000" w:rsidRDefault="00000000" w14:paraId="00000003"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highlight w:val="white"/>
        </w:rPr>
        <w:t>Between UK Car Park Management Limited(Claimant)</w:t>
      </w:r>
    </w:p>
    <w:p w:rsidR="00000000" w:rsidDel="00000000" w:rsidRDefault="00000000" w14:paraId="00000004"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highlight w:val="white"/>
        </w:rPr>
        <w:t>And</w:t>
      </w:r>
    </w:p>
    <w:p w:rsidR="00000000" w:rsidDel="00000000" w:rsidRDefault="00000000" w14:paraId="00000005"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highlight w:val="white"/>
        </w:rPr>
        <w:t>Brentmeister2k (Defendant)</w:t>
      </w:r>
    </w:p>
    <w:p w:rsidR="00000000" w:rsidDel="00000000" w:rsidRDefault="00000000" w14:paraId="00000006"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07"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highlight w:val="white"/>
        </w:rPr>
        <w:t>Witness Statement</w:t>
      </w:r>
    </w:p>
    <w:p w:rsidR="00000000" w:rsidDel="00000000" w:rsidRDefault="00000000" w14:paraId="00000008"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09"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0A"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highlight w:val="white"/>
        </w:rPr>
        <w:t>Witness Statement</w:t>
      </w:r>
    </w:p>
    <w:p w:rsidR="00000000" w:rsidDel="00000000" w:rsidRDefault="00000000" w14:paraId="0000000B"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rPr>
      </w:r>
    </w:p>
    <w:p w:rsidR="00000000" w:rsidDel="00000000" w:rsidRDefault="00000000" w14:paraId="0000000C"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I am xxxxxx xxxxxxxx of xxxx {address} xxxx the Defendant in this matter. I will say as follows:</w:t>
      </w:r>
    </w:p>
    <w:p w:rsidR="00000000" w:rsidDel="00000000" w:rsidRDefault="00000000" w14:paraId="0000000D"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0E"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My defence is appended and repeated. In support, I append the following evidence:</w:t>
      </w:r>
    </w:p>
    <w:p w:rsidR="00000000" w:rsidDel="00000000" w:rsidRDefault="00000000" w14:paraId="0000000F"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10" w:rsidP="00000000" w:rsidRPr="00000000">
      <w:pPr>
        <w:pBdr>
          <w:top w:val="nil" w:sz="0" w:color="auto" w:space="0"/>
          <w:bottom w:val="nil" w:sz="0" w:color="auto" w:space="0"/>
          <w:left w:val="nil" w:sz="0" w:color="auto" w:space="0"/>
          <w:right w:val="nil" w:sz="0" w:color="auto" w:space="0"/>
          <w:between w:val="nil" w:sz="0" w:color="auto" w:space="0"/>
        </w:pBdr>
        <w:numPr>
          <w:ilvl w:val="1"/>
          <w:numId w:val="2"/>
        </w:numPr>
        <w:ind w:left="1440"/>
        <w:ind w:hanging="360"/>
        <w:spacing w:line="331" w:lineRule="auto"/>
        <w:rPr>
          <w:u w:val="none"/>
          <w:highlight w:val="white"/>
        </w:rPr>
      </w:pPr>
      <w:r>
        <w:rPr>
          <w:highlight w:val="white"/>
        </w:rPr>
        <w:t>Exhibits A and B relate to the matter of the inadequate signage - a photograph of the UKCPM signs, Exhibit A represent the sign photographed on a visit I made in November 2019 whilst preparing my defence. Exhibit B is a photo in the UKCPM Witness statement that I have not seen in my visits and was not able to therefore photograph. Exhibit B - the image provided in UKCPM witness statement contains bright red, bold, capitalised text stating "FREE TICKET MUST BE DISPLAYED."   As stated I did not see this in either of my visits in August 2018 or to collect evidence in November 19, instead I was able to photograph Exhibit A which contains much smaller, not bold and no stand out colouring text which states a similar message but in text much smaller than the rest of the text contained within the sign and therefore very easily missed, with the initial reading simply picking up the larger message that parking for less than 4 hours is free. I present the signage I was able to capture in Exhibit A and compare this to Exhibit C, the notably very different ‘prominent and large lettering with the parking charge in the largest font’ sign accepted by the Supreme Court in ParkingEye Ltd v Beavis [2015]</w:t>
      </w:r>
    </w:p>
    <w:p w:rsidR="00000000" w:rsidDel="00000000" w:rsidRDefault="00000000" w14:paraId="00000011"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12" w:rsidP="00000000" w:rsidRPr="00000000">
      <w:pPr>
        <w:pBdr>
          <w:top w:val="nil" w:sz="0" w:color="auto" w:space="0"/>
          <w:bottom w:val="nil" w:sz="0" w:color="auto" w:space="0"/>
          <w:left w:val="nil" w:sz="0" w:color="auto" w:space="0"/>
          <w:right w:val="nil" w:sz="0" w:color="auto" w:space="0"/>
          <w:between w:val="nil" w:sz="0" w:color="auto" w:space="0"/>
        </w:pBdr>
        <w:numPr>
          <w:ilvl w:val="1"/>
          <w:numId w:val="2"/>
        </w:numPr>
        <w:ind w:left="1440"/>
        <w:ind w:hanging="360"/>
        <w:spacing w:line="331" w:lineRule="auto"/>
        <w:rPr>
          <w:u w:val="none"/>
          <w:highlight w:val="white"/>
        </w:rPr>
      </w:pPr>
      <w:r w:rsidR="00000000" w:rsidDel="00000000" w:rsidRPr="00000000">
        <w:rPr>
          <w:rtl w:val="0"/>
          <w:highlight w:val="white"/>
        </w:rPr>
        <w:t>Exhibit D  – the Consumer Rights Act 2015 ('CRA') Sch2 is appended and the court’s attention is drawn to its duty in s71 and must consider the breaches of paras 6, 10, 14 and 18 of the appended schedule of terms that are likely to be unfair.   Exhibit E – re the matter of the abuse of process of the Claimant adding a false 'costs' sum of £60, the case of Britannia Parking v Crosby (Southampton Court application hearing following a strike-out order) is appended.  My case is the same in this regard.</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p>
    <w:p>
      <w:pPr>
        <w:pBdr>
          <w:top w:val="nil" w:sz="0" w:color="auto" w:space="0"/>
          <w:bottom w:val="nil" w:sz="0" w:color="auto" w:space="0"/>
          <w:left w:val="nil" w:sz="0" w:color="auto" w:space="0"/>
          <w:right w:val="nil" w:sz="0" w:color="auto" w:space="0"/>
          <w:between w:val="nil" w:sz="0" w:color="auto" w:space="0"/>
        </w:pBdr>
        <w:numPr>
          <w:ilvl w:val="1"/>
          <w:numId w:val="2"/>
        </w:numPr>
        <w:ind w:left="1440"/>
        <w:ind w:hanging="360"/>
        <w:spacing w:line="331" w:lineRule="auto"/>
      </w:pPr>
      <w:r>
        <w:t>The facts are that my wife, my 2 year old daughter and I were visiting the Chatham Dockyard shopping centre for the first time on 26/08/18, I was driving vehicle registration XXX XXX.  We intended to visit for circa 30 minutes as we were only planning to visit one shop to purchase some shoes for my Daughter.</w:t>
      </w:r>
    </w:p>
    <w:p w:rsidR="00000000" w:rsidDel="00000000" w:rsidRDefault="00000000" w14:paraId="00000015"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rPr>
      </w:r>
    </w:p>
    <w:p w:rsidR="00000000" w:rsidDel="00000000" w:rsidRDefault="00000000" w14:paraId="00000016"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17"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I found the whole centre and car park offering confusing and believe I parked in the adjoining car park for Quay 5 retail park, rather than the Dockside outlet although they are right next to one another and difficult to differentiate.</w:t>
      </w:r>
    </w:p>
    <w:p w:rsidR="00000000" w:rsidDel="00000000" w:rsidRDefault="00000000" w14:paraId="00000018"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19"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On parking I went to the pay and display machine to purchase a ticket, I noticed the parking was free for 4 hours and attempted to obtain a ticket from the machine without paying. The machine did not give a ticket out, there were several other shoppers nearby and trying to use the machine and we all concluded that given the 4 hours free parking and that we could not obtain any from the machine without putting money in that there must have been no need for a ticket if we were staying less than 4 hours.</w:t>
      </w:r>
    </w:p>
    <w:p w:rsidR="00000000" w:rsidDel="00000000" w:rsidRDefault="00000000" w14:paraId="0000001A"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1B"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I completed my visit to the nearby shops and ended up being around 1 hour as I visited 2 additional shops but returned well within the free 4 hour period.</w:t>
      </w:r>
    </w:p>
    <w:p w:rsidR="00000000" w:rsidDel="00000000" w:rsidRDefault="00000000" w14:paraId="0000001C"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1D"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On returning to the vehicle I found the parking ticket and noticed a large number of other vehicles with parking tickets. I spoke to several other drivers who had made a similar mistake to me.</w:t>
      </w:r>
    </w:p>
    <w:p w:rsidR="00000000" w:rsidDel="00000000" w:rsidRDefault="00000000" w14:paraId="0000001E"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1F"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I am unsure if the the ticket machine was faulty or confusing to use but given that I was not alone in my error I was left confused.</w:t>
      </w:r>
    </w:p>
    <w:p w:rsidR="00000000" w:rsidDel="00000000" w:rsidRDefault="00000000" w14:paraId="00000020"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21"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I was initially unclear if I had received the PCN due to parking in one shopping centre and visiting another or what the issue was. I appealed via email to the Claimant on the grounds of this but it was rejected.</w:t>
      </w:r>
    </w:p>
    <w:p w:rsidR="00000000" w:rsidDel="00000000" w:rsidRDefault="00000000" w14:paraId="00000022"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23"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I visited the same car park in November 2019 when preparing my defence and took several photos of signage including that in exhibit A.</w:t>
      </w:r>
    </w:p>
    <w:p w:rsidR="00000000" w:rsidDel="00000000" w:rsidRDefault="00000000" w14:paraId="00000024"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25"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As part of the Witness Statement provided by the claimant they have provided an alternate version signage which I have titled exhibit B. Please note the additional text present in exhibit B in bright bold capital red lettering stating "FREE TICKET MUST BE DISPLAYED."</w:t>
      </w:r>
    </w:p>
    <w:p w:rsidR="00000000" w:rsidDel="00000000" w:rsidRDefault="00000000" w14:paraId="00000026"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27"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This altered signage was not present when I visited the car park in August 2018 to park or when I visited to collect my evidence in November 2019 as exhibit A clearly demonstrates a similar sign that I viewed and photographed in November 2019 is not nearly as clear. With the message of free parking for 4 hours contained in a large bold font and only small print contained underneath explaining that: To qualify for 4 hours free parking motorists must obtain and clearly display a valid pay and display ticket on the dashboard of their vehicle.</w:t>
      </w:r>
    </w:p>
    <w:p w:rsidR="00000000" w:rsidDel="00000000" w:rsidRDefault="00000000" w14:paraId="00000028"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29"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This image in exhibit B is much clearer and obvious however this was not on display on my visits to the car park.</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The witness statement appear to not actually be signed by Mr Jack Chapman, and a formal complaint has already been sent to the Solicitors Regulation Authority (SRA) about a similar UKCPM case where this exact same UKCPM 'electronic signature' was exposed by a lay representative, to be a facsimile and that UKCPM could not have signed the statement on the date stated under the facsimile signature, or at all.</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rPr>
          <w:highlight w:val="white"/>
        </w:r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In the two cases in October, Claim Nos. E9GF9M7K and E4GF8M1R, UKCPM -v- Mrs A, before Deputy District Judge Chohan at High Wycombe statements purported to have been signed by 'Jack Chapman', an employee of the Claimant Company, could not have been. A comparison of the signatures on these two statements showed that the signatures are 100% identical in every respect, down to the last pixel. It was highly improbable, if not impossible, that any person would sign his name twice in a completely identical manner on two separate occasions, three months apart. The same signature in this case too. </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t>The complaint to the SRA continued: ''The only possible conclusion to be drawn from this, is that Gladstones have copied, traced, or otherwise forged Mr Chapman's signature, and that in fact Mr Chapman has never seen or signed these statements. This is particularly relevant in the case of the second statement, which was emailed to the Defendant on the day after it was created. Gladstones are based in Knutsford, Cheshire, whereas the Claimant company are situated in West Sussex. Unless they couriered it by helicopter, it is clear that Mr Chapman could not have signed it.</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rPr>
          <w:highlight w:val="white"/>
        </w:r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 xml:space="preserve">This is a significant and serious act of dishonesty, for which Lesley Layton of Lance Mason Solicitors was struck off the roll in 2017. </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rPr>
          <w:highlight w:val="white"/>
        </w:r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The complaint, currently under investigation against Gladstones, suggested that the SRA needs to take urgent action on this matter, as it is more likely than not that this is an ongoing and regular practice. See Exhibit F.</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rPr>
          <w:highlight w:val="white"/>
        </w:r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In the case of UKCPM v Mrs A on 17th October, Deputy District Judge Chohan at High Wycombe struck out both conjoined claims. He also agreed that the two factors of late service, and a defective WS, crossed the threshold of unreasonable behaviour, and awarded Mrs A her full costs in the sum of £331.80, which he said was a very reasonable figure.</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t>My case has the same facsimile signature from a person who was not a witness. It is a templated statement and 'Jack' from UKCPM is not here to be cross examined, being conspicuous by his absence.</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I have reported Gladstones solicitors to the Solicitors' Regulation Authority in view of the fact that this Witness Statement is a template and almost exact match for others, is not written by any UKCPM employee and that is it unlikely, on the balance of probabilities, that the UKCPM employee whose facsimile signature had been screen-dumped at the bottom, has even seen the statement let alone signed it. The SRA are known to be currently actively investigating these specific 'Jack Chapman' signed witness statements which have been sent to the SRA due to an apparent failure to ensure that the UKCPM witness has written, read and signed it himself. This appears to be a serious abuse of the Court process and compromises the Claimant's entire position.</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rPr>
          <w:highlight w:val="white"/>
        </w:r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I am aware that this person 'Jack Chapman' will not appear to be questioned and my position as Defendant is prejudiced in view of the background and current ongoing SRA investigation. In view of this, the Defendant asks that the WS and the enclosures are considered hearsay at best, and disregarded.</w:t>
      </w:r>
    </w:p>
    <w:p>
      <w:pPr>
        <w:pBdr>
          <w:top w:val="nil" w:sz="0" w:color="auto" w:space="0"/>
          <w:bottom w:val="nil" w:sz="0" w:color="auto" w:space="0"/>
          <w:left w:val="nil" w:sz="0" w:color="auto" w:space="0"/>
          <w:right w:val="nil" w:sz="0" w:color="auto" w:space="0"/>
          <w:between w:val="nil" w:sz="0" w:color="auto" w:space="0"/>
        </w:pBdr>
        <w:ind w:left="1440"/>
        <w:ind w:hanging="360"/>
        <w:spacing w:line="331" w:lineRule="auto"/>
      </w:pPr>
      <w:r>
        <w:rPr>
          <w:highlight w:val="white"/>
        </w:rPr>
      </w:r>
    </w:p>
    <w:p>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pPr>
      <w:r>
        <w:rPr>
          <w:highlight w:val="white"/>
        </w:rPr>
        <w:t>I would like the Court to consider awarding my full costs. It is my position that this purported Witness Statement is a false instrument and is the final straw in a long list of vexatious and 'wholly unreasonable' conduct on the part of the Claimant, in this case. A revised costs schedule is appended to this statement, setting out actual costs incurred by the Defendant which are now sought, on the Indemnity basis.</w:t>
      </w:r>
    </w:p>
    <w:p w:rsidR="00000000" w:rsidDel="00000000" w:rsidRDefault="00000000" w14:paraId="0000002A" w:rsidP="00000000" w:rsidRPr="00000000">
      <w:pPr>
        <w:pBdr>
          <w:top w:val="nil" w:sz="0" w:color="auto" w:space="0"/>
          <w:bottom w:val="nil" w:sz="0" w:color="auto" w:space="0"/>
          <w:left w:val="nil" w:sz="0" w:color="auto" w:space="0"/>
          <w:right w:val="nil" w:sz="0" w:color="auto" w:space="0"/>
          <w:between w:val="nil" w:sz="0" w:color="auto" w:space="0"/>
        </w:pBdr>
        <w:spacing w:line="331" w:lineRule="auto"/>
        <w:rPr>
          <w:highlight w:val="white"/>
        </w:rPr>
      </w:pPr>
      <w:r w:rsidR="00000000" w:rsidDel="00000000" w:rsidRPr="00000000">
        <w:rPr>
          <w:rtl w:val="0"/>
        </w:rPr>
      </w:r>
    </w:p>
    <w:p w:rsidR="00000000" w:rsidDel="00000000" w:rsidRDefault="00000000" w14:paraId="0000002B" w:rsidP="00000000" w:rsidRPr="00000000">
      <w:pPr>
        <w:pBdr>
          <w:top w:val="nil" w:sz="0" w:color="auto" w:space="0"/>
          <w:bottom w:val="nil" w:sz="0" w:color="auto" w:space="0"/>
          <w:left w:val="nil" w:sz="0" w:color="auto" w:space="0"/>
          <w:right w:val="nil" w:sz="0" w:color="auto" w:space="0"/>
          <w:between w:val="nil" w:sz="0" w:color="auto" w:space="0"/>
        </w:pBdr>
        <w:numPr>
          <w:ilvl w:val="0"/>
          <w:numId w:val="1"/>
        </w:numPr>
        <w:ind w:left="1440"/>
        <w:ind w:hanging="360"/>
        <w:spacing w:line="331" w:lineRule="auto"/>
        <w:rPr>
          <w:u w:val="none"/>
          <w:highlight w:val="white"/>
        </w:rPr>
      </w:pPr>
      <w:r w:rsidR="00000000" w:rsidDel="00000000" w:rsidRPr="00000000">
        <w:rPr>
          <w:rtl w:val="0"/>
          <w:highlight w:val="white"/>
        </w:rPr>
        <w:t>I invite the Court to dismiss this claim in its entirety, and to award my full costs as summarily assessed (attached), such as are allowable pursuant to CPR 27.14, due to the long list of unreasonable conduct by the Claimant.  This includes but is not limited to:</w:t>
      </w:r>
    </w:p>
    <w:p w:rsidR="00000000" w:rsidDel="00000000" w:rsidRDefault="00000000" w14:paraId="0000002C"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rPr>
      </w:r>
    </w:p>
    <w:p w:rsidR="00000000" w:rsidDel="00000000" w:rsidRDefault="00000000" w14:paraId="0000002D" w:rsidP="00000000" w:rsidRPr="00000000">
      <w:pPr>
        <w:pBdr>
          <w:top w:val="nil" w:sz="0" w:color="auto" w:space="0"/>
          <w:bottom w:val="nil" w:sz="0" w:color="auto" w:space="0"/>
          <w:left w:val="nil" w:sz="0" w:color="auto" w:space="0"/>
          <w:right w:val="nil" w:sz="0" w:color="auto" w:space="0"/>
          <w:between w:val="nil" w:sz="0" w:color="auto" w:space="0"/>
        </w:pBdr>
        <w:ind w:left="1440"/>
        <w:ind w:firstLine="0"/>
        <w:spacing w:line="331" w:lineRule="auto"/>
        <w:rPr>
          <w:highlight w:val="white"/>
        </w:rPr>
      </w:pPr>
      <w:r w:rsidR="00000000" w:rsidDel="00000000" w:rsidRPr="00000000">
        <w:rPr>
          <w:rtl w:val="0"/>
          <w:highlight w:val="white"/>
        </w:rPr>
        <w:t>(i) unclear signs at the car park in 2018 with no regard paid to the CRA requirements for prominence and transparency;</w:t>
      </w:r>
    </w:p>
    <w:p w:rsidR="00000000" w:rsidDel="00000000" w:rsidRDefault="00000000" w14:paraId="0000002E"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rPr>
      </w:r>
    </w:p>
    <w:p w:rsidR="00000000" w:rsidDel="00000000" w:rsidRDefault="00000000" w14:paraId="0000002F" w:rsidP="00000000" w:rsidRPr="00000000">
      <w:pPr>
        <w:pBdr>
          <w:top w:val="nil" w:sz="0" w:color="auto" w:space="0"/>
          <w:bottom w:val="nil" w:sz="0" w:color="auto" w:space="0"/>
          <w:left w:val="nil" w:sz="0" w:color="auto" w:space="2147483647"/>
          <w:right w:val="nil" w:sz="0" w:color="auto" w:space="0"/>
          <w:between w:val="nil" w:sz="0" w:color="auto" w:space="0"/>
        </w:pBdr>
        <w:ind w:left="1800"/>
        <w:ind w:hanging="360"/>
        <w:spacing w:line="331" w:lineRule="auto"/>
        <w:rPr>
          <w:highlight w:val="white"/>
        </w:rPr>
      </w:pPr>
      <w:r w:rsidR="00000000" w:rsidDel="00000000" w:rsidRPr="00000000">
        <w:rPr>
          <w:rtl w:val="0"/>
          <w:highlight w:val="white"/>
        </w:rPr>
        <w:t>(ii) producing misleading signage evidence with the sign altered;</w:t>
      </w:r>
    </w:p>
    <w:p w:rsidR="00000000" w:rsidDel="00000000" w:rsidRDefault="00000000" w14:paraId="00000030"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rPr>
      </w:r>
    </w:p>
    <w:p w:rsidR="00000000" w:rsidDel="00000000" w:rsidRDefault="00000000" w14:paraId="00000031" w:rsidP="00000000" w:rsidRPr="00000000">
      <w:pPr>
        <w:pBdr>
          <w:top w:val="nil" w:sz="0" w:color="auto" w:space="0"/>
          <w:bottom w:val="nil" w:sz="0" w:color="auto" w:space="0"/>
          <w:left w:val="nil" w:sz="0" w:color="auto" w:space="2147483647"/>
          <w:right w:val="nil" w:sz="0" w:color="auto" w:space="0"/>
          <w:between w:val="nil" w:sz="0" w:color="auto" w:space="0"/>
        </w:pBdr>
        <w:ind w:left="1800"/>
        <w:ind w:hanging="360"/>
        <w:spacing w:line="331" w:lineRule="auto"/>
        <w:rPr>
          <w:highlight w:val="white"/>
        </w:rPr>
      </w:pPr>
      <w:r w:rsidR="00000000" w:rsidDel="00000000" w:rsidRPr="00000000">
        <w:rPr>
          <w:rtl w:val="0"/>
          <w:highlight w:val="white"/>
        </w:rPr>
        <w:t>(iii) adding a false and unrecoverable £60 sum to the claim (abuse of process);</w:t>
      </w:r>
    </w:p>
    <w:p w:rsidR="00000000" w:rsidDel="00000000" w:rsidRDefault="00000000" w14:paraId="00000032"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rPr>
      </w:r>
    </w:p>
    <w:p w:rsidR="00000000" w:rsidDel="00000000" w:rsidRDefault="00000000" w14:paraId="00000033" w:rsidP="00000000" w:rsidRPr="00000000">
      <w:pPr>
        <w:pBdr>
          <w:top w:val="nil" w:sz="0" w:color="auto" w:space="0"/>
          <w:bottom w:val="nil" w:sz="0" w:color="auto" w:space="0"/>
          <w:left w:val="nil" w:sz="0" w:color="auto" w:space="2147483647"/>
          <w:right w:val="nil" w:sz="0" w:color="auto" w:space="0"/>
          <w:between w:val="nil" w:sz="0" w:color="auto" w:space="0"/>
        </w:pBdr>
        <w:ind w:left="1800"/>
        <w:ind w:hanging="360"/>
        <w:spacing w:line="331" w:lineRule="auto"/>
        <w:rPr>
          <w:highlight w:val="white"/>
        </w:rPr>
      </w:pPr>
      <w:r w:rsidR="00000000" w:rsidDel="00000000" w:rsidRPr="00000000">
        <w:rPr>
          <w:rtl w:val="0"/>
          <w:highlight w:val="white"/>
        </w:rPr>
        <w:t>(iv) producing a putative 'witness' statement which has almost no probative value, being a cut &amp; paste template of errors, hearsay commentary and prolix legal argument churned out by freelance statement writers for Gladstones solicitors without any regard for the principles outlined in JD Wetherspoon plc v Harris [2013] EWRC 1088 and in the knowledge that the purported signatory will not attend (hearsay and witness statement abuse).</w:t>
      </w:r>
    </w:p>
    <w:p w:rsidR="00000000" w:rsidDel="00000000" w:rsidRDefault="00000000" w14:paraId="00000034"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rPr>
      </w:r>
    </w:p>
    <w:p w:rsidR="00000000" w:rsidDel="00000000" w:rsidRDefault="00000000" w14:paraId="00000035"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rPr>
      </w:r>
    </w:p>
    <w:p w:rsidR="00000000" w:rsidDel="00000000" w:rsidRDefault="00000000" w14:paraId="00000036"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highlight w:val="white"/>
        </w:rPr>
        <w:t xml:space="preserve">Statement of Truth: </w:t>
      </w:r>
    </w:p>
    <w:p w:rsidR="00000000" w:rsidDel="00000000" w:rsidRDefault="00000000" w14:paraId="00000037"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rPr>
      </w:r>
    </w:p>
    <w:p w:rsidR="00000000" w:rsidDel="00000000" w:rsidRDefault="00000000" w14:paraId="00000038" w:rsidP="00000000" w:rsidRPr="00000000">
      <w:pPr>
        <w:pBdr>
          <w:top w:val="nil" w:sz="0" w:color="auto" w:space="0"/>
          <w:bottom w:val="nil" w:sz="0" w:color="auto" w:space="0"/>
          <w:left w:val="nil" w:sz="0" w:color="auto" w:space="0"/>
          <w:right w:val="nil" w:sz="0" w:color="auto" w:space="0"/>
          <w:between w:val="nil" w:sz="0" w:color="auto" w:space="0"/>
        </w:pBdr>
        <w:ind w:left="720"/>
        <w:ind w:firstLine="0"/>
        <w:spacing w:line="331" w:lineRule="auto"/>
        <w:rPr>
          <w:highlight w:val="white"/>
        </w:rPr>
      </w:pPr>
      <w:r w:rsidR="00000000" w:rsidDel="00000000" w:rsidRPr="00000000">
        <w:rPr>
          <w:rtl w:val="0"/>
          <w:highlight w:val="white"/>
        </w:rPr>
        <w:t>I believe that the facts stated in this Witness Statement are true. I understand that proceedings for contempt of court may be brought against anyone who makes, or causes to be made, a false statement in a document verified by a statement of truth without an honest belief in its truth.</w:t>
      </w:r>
    </w:p>
    <w:p w:rsidR="00000000" w:rsidDel="00000000" w:rsidRDefault="00000000" w14:paraId="00000039"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rPr>
      </w:r>
    </w:p>
    <w:p w:rsidR="00000000" w:rsidDel="00000000" w:rsidRDefault="00000000" w14:paraId="0000003A"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rPr>
      </w:r>
    </w:p>
    <w:p w:rsidR="00000000" w:rsidDel="00000000" w:rsidRDefault="00000000" w14:paraId="0000003B"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rPr>
      </w:r>
    </w:p>
    <w:p w:rsidR="00000000" w:rsidDel="00000000" w:rsidRDefault="00000000" w14:paraId="0000003C"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highlight w:val="white"/>
        </w:rPr>
        <w:t>Signature</w:t>
      </w:r>
    </w:p>
    <w:p w:rsidR="00000000" w:rsidDel="00000000" w:rsidRDefault="00000000" w14:paraId="0000003D"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rPr>
      </w:r>
    </w:p>
    <w:p w:rsidR="00000000" w:rsidDel="00000000" w:rsidRDefault="00000000" w14:paraId="0000003E" w:rsidP="00000000" w:rsidRPr="00000000">
      <w:pPr>
        <w:pBdr>
          <w:top w:val="nil" w:sz="0" w:color="auto" w:space="0"/>
          <w:bottom w:val="nil" w:sz="0" w:color="auto" w:space="0"/>
          <w:left w:val="nil" w:sz="0" w:color="auto" w:space="2147483647"/>
          <w:right w:val="nil" w:sz="0" w:color="auto" w:space="0"/>
          <w:between w:val="nil" w:sz="0" w:color="auto" w:space="0"/>
        </w:pBdr>
        <w:ind w:left="1080"/>
        <w:ind w:hanging="360"/>
        <w:spacing w:line="331" w:lineRule="auto"/>
        <w:rPr>
          <w:highlight w:val="white"/>
        </w:rPr>
      </w:pPr>
      <w:r w:rsidR="00000000" w:rsidDel="00000000" w:rsidRPr="00000000">
        <w:rPr>
          <w:rtl w:val="0"/>
          <w:highlight w:val="white"/>
        </w:rPr>
        <w:t>Date</w:t>
      </w:r>
    </w:p>
    <w:p w:rsidR="00000000" w:rsidDel="00000000" w:rsidRDefault="00000000" w14:paraId="00000040" w:rsidP="00000000" w:rsidRPr="00000000">
      <w:pPr/>
      <w:r w:rsidR="00000000" w:rsidDel="00000000" w:rsidRPr="00000000">
        <w:rPr>
          <w:rtl w:val="0"/>
        </w:rPr>
      </w:r>
    </w:p>
    <w:sectPr>
      <w:pgNumType w:start="1"/>
      <w:pgSz w:w="12240" w:h="15840"/>
      <w:pgMar w:left="1440" w:right="1440" w:top="1440" w:bottom="1440" w:header="720" w:footer="720"/>
    </w:sectPr>
  </w:body>
</w:document>
</file>

<file path=word/fontTable.xml><?xml version="1.0" encoding="utf-8"?>
<w:font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v="urn:schemas-microsoft-com:vml" xmlns:w="http://schemas.openxmlformats.org/wordprocessingml/2006/main"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font w:name="Arial"/>
  <w:font w:name="Calibri"/>
  <w:font w:name="Cambria"/>
  <w:font w:name="Symbol"/>
  <w:font w:name="Courier New"/>
  <w:font w:name="Times New Roman"/>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
    <w:multiLevelType w:val="hybridMultilevel"/>
    <w:lvl w:ilvl="0">
      <w:numFmt w:val="decimal"/>
      <w:lvlText w:val="%1."/>
      <w:start w:val="1"/>
      <w:rPr>
        <w:u w:val="none"/>
      </w:rPr>
      <w:pPr>
        <w:ind w:left="1440"/>
        <w:ind w:hanging="360"/>
      </w:pPr>
      <w:lvlJc w:val="left"/>
    </w:lvl>
    <w:lvl w:ilvl="1">
      <w:numFmt w:val="lowerLetter"/>
      <w:lvlText w:val="%2."/>
      <w:start w:val="1"/>
      <w:rPr>
        <w:u w:val="none"/>
      </w:rPr>
      <w:pPr>
        <w:ind w:left="2160"/>
        <w:ind w:hanging="360"/>
      </w:pPr>
      <w:lvlJc w:val="left"/>
    </w:lvl>
    <w:lvl w:ilvl="2">
      <w:numFmt w:val="lowerRoman"/>
      <w:lvlText w:val="%3."/>
      <w:start w:val="1"/>
      <w:rPr>
        <w:u w:val="none"/>
      </w:rPr>
      <w:pPr>
        <w:ind w:left="2880"/>
        <w:ind w:hanging="360"/>
      </w:pPr>
      <w:lvlJc w:val="right"/>
    </w:lvl>
    <w:lvl w:ilvl="3">
      <w:numFmt w:val="decimal"/>
      <w:lvlText w:val="%4."/>
      <w:start w:val="1"/>
      <w:rPr>
        <w:u w:val="none"/>
      </w:rPr>
      <w:pPr>
        <w:ind w:left="3600"/>
        <w:ind w:hanging="360"/>
      </w:pPr>
      <w:lvlJc w:val="left"/>
    </w:lvl>
    <w:lvl w:ilvl="4">
      <w:numFmt w:val="lowerLetter"/>
      <w:lvlText w:val="%5."/>
      <w:start w:val="1"/>
      <w:rPr>
        <w:u w:val="none"/>
      </w:rPr>
      <w:pPr>
        <w:ind w:left="4320"/>
        <w:ind w:hanging="360"/>
      </w:pPr>
      <w:lvlJc w:val="left"/>
    </w:lvl>
    <w:lvl w:ilvl="5">
      <w:numFmt w:val="lowerRoman"/>
      <w:lvlText w:val="%6."/>
      <w:start w:val="1"/>
      <w:rPr>
        <w:u w:val="none"/>
      </w:rPr>
      <w:pPr>
        <w:ind w:left="5040"/>
        <w:ind w:hanging="360"/>
      </w:pPr>
      <w:lvlJc w:val="right"/>
    </w:lvl>
    <w:lvl w:ilvl="6">
      <w:numFmt w:val="decimal"/>
      <w:lvlText w:val="%7."/>
      <w:start w:val="1"/>
      <w:rPr>
        <w:u w:val="none"/>
      </w:rPr>
      <w:pPr>
        <w:ind w:left="5760"/>
        <w:ind w:hanging="360"/>
      </w:pPr>
      <w:lvlJc w:val="left"/>
    </w:lvl>
    <w:lvl w:ilvl="7">
      <w:numFmt w:val="lowerLetter"/>
      <w:lvlText w:val="%8."/>
      <w:start w:val="1"/>
      <w:rPr>
        <w:u w:val="none"/>
      </w:rPr>
      <w:pPr>
        <w:ind w:left="6480"/>
        <w:ind w:hanging="360"/>
      </w:pPr>
      <w:lvlJc w:val="left"/>
    </w:lvl>
    <w:lvl w:ilvl="8">
      <w:numFmt w:val="lowerRoman"/>
      <w:lvlText w:val="%9."/>
      <w:start w:val="1"/>
      <w:rPr>
        <w:u w:val="none"/>
      </w:rPr>
      <w:pPr>
        <w:ind w:left="7200"/>
        <w:ind w:hanging="360"/>
      </w:pPr>
      <w:lvlJc w:val="right"/>
    </w:lvl>
  </w:abstractNum>
  <w:abstractNum w:abstractNumId="2">
    <w:multiLevelType w:val="hybridMultilevel"/>
    <w:lvl w:ilvl="0">
      <w:numFmt w:val="bullet"/>
      <w:lvlText w:val="●"/>
      <w:start w:val="1"/>
      <w:rPr>
        <w:u w:val="none"/>
      </w:rPr>
      <w:pPr>
        <w:ind w:left="720"/>
        <w:ind w:hanging="360"/>
      </w:pPr>
      <w:lvlJc w:val="left"/>
    </w:lvl>
    <w:lvl w:ilvl="1">
      <w:numFmt w:val="bullet"/>
      <w:lvlText w:val="○"/>
      <w:start w:val="1"/>
      <w:rPr>
        <w:u w:val="none"/>
      </w:rPr>
      <w:pPr>
        <w:ind w:left="1440"/>
        <w:ind w:hanging="360"/>
      </w:pPr>
      <w:lvlJc w:val="left"/>
    </w:lvl>
    <w:lvl w:ilvl="2">
      <w:numFmt w:val="bullet"/>
      <w:lvlText w:val="■"/>
      <w:start w:val="1"/>
      <w:rPr>
        <w:u w:val="none"/>
      </w:rPr>
      <w:pPr>
        <w:ind w:left="2160"/>
        <w:ind w:hanging="360"/>
      </w:pPr>
      <w:lvlJc w:val="left"/>
    </w:lvl>
    <w:lvl w:ilvl="3">
      <w:numFmt w:val="bullet"/>
      <w:lvlText w:val="●"/>
      <w:start w:val="1"/>
      <w:rPr>
        <w:u w:val="none"/>
      </w:rPr>
      <w:pPr>
        <w:ind w:left="2880"/>
        <w:ind w:hanging="360"/>
      </w:pPr>
      <w:lvlJc w:val="left"/>
    </w:lvl>
    <w:lvl w:ilvl="4">
      <w:numFmt w:val="bullet"/>
      <w:lvlText w:val="○"/>
      <w:start w:val="1"/>
      <w:rPr>
        <w:u w:val="none"/>
      </w:rPr>
      <w:pPr>
        <w:ind w:left="3600"/>
        <w:ind w:hanging="360"/>
      </w:pPr>
      <w:lvlJc w:val="left"/>
    </w:lvl>
    <w:lvl w:ilvl="5">
      <w:numFmt w:val="bullet"/>
      <w:lvlText w:val="■"/>
      <w:start w:val="1"/>
      <w:rPr>
        <w:u w:val="none"/>
      </w:rPr>
      <w:pPr>
        <w:ind w:left="4320"/>
        <w:ind w:hanging="360"/>
      </w:pPr>
      <w:lvlJc w:val="left"/>
    </w:lvl>
    <w:lvl w:ilvl="6">
      <w:numFmt w:val="bullet"/>
      <w:lvlText w:val="●"/>
      <w:start w:val="1"/>
      <w:rPr>
        <w:u w:val="none"/>
      </w:rPr>
      <w:pPr>
        <w:ind w:left="5040"/>
        <w:ind w:hanging="360"/>
      </w:pPr>
      <w:lvlJc w:val="left"/>
    </w:lvl>
    <w:lvl w:ilvl="7">
      <w:numFmt w:val="bullet"/>
      <w:lvlText w:val="○"/>
      <w:start w:val="1"/>
      <w:rPr>
        <w:u w:val="none"/>
      </w:rPr>
      <w:pPr>
        <w:ind w:left="5760"/>
        <w:ind w:hanging="360"/>
      </w:pPr>
      <w:lvlJc w:val="left"/>
    </w:lvl>
    <w:lvl w:ilvl="8">
      <w:numFmt w:val="bullet"/>
      <w:lvlText w:val="■"/>
      <w:start w:val="1"/>
      <w:rPr>
        <w:u w:val="none"/>
      </w:rPr>
      <w:pPr>
        <w:ind w:left="6480"/>
        <w:ind w:hanging="360"/>
      </w:pPr>
      <w:lvlJc w:val="left"/>
    </w:lvl>
  </w:abstractNum>
  <w:abstractNum w:abstractNumId="10121982">
    <w:multiLevelType w:val="hybridMultilevel"/>
    <w:lvl w:ilvl="0">
      <w:numFmt w:val="decimal"/>
      <w:lvlText w:val="%1."/>
      <w:start w:val="1"/>
      <w:pPr>
        <w:ind w:left="720"/>
        <w:ind w:hanging="360"/>
      </w:pPr>
    </w:lvl>
    <w:lvl w:ilvl="1">
      <w:numFmt w:val="decimal"/>
      <w:lvlText w:val="%2."/>
      <w:start w:val="1"/>
      <w:pPr>
        <w:ind w:left="1440"/>
        <w:ind w:hanging="1080"/>
      </w:pPr>
    </w:lvl>
    <w:lvl w:ilvl="2">
      <w:numFmt w:val="decimal"/>
      <w:lvlText w:val="%3."/>
      <w:start w:val="1"/>
      <w:pPr>
        <w:ind w:left="2160"/>
        <w:ind w:hanging="1980"/>
      </w:pPr>
    </w:lvl>
    <w:lvl w:ilvl="3">
      <w:numFmt w:val="decimal"/>
      <w:lvlText w:val="%4."/>
      <w:start w:val="1"/>
      <w:pPr>
        <w:ind w:left="2880"/>
        <w:ind w:hanging="2520"/>
      </w:pPr>
    </w:lvl>
    <w:lvl w:ilvl="4">
      <w:numFmt w:val="decimal"/>
      <w:lvlText w:val="%5."/>
      <w:start w:val="1"/>
      <w:pPr>
        <w:ind w:left="3600"/>
        <w:ind w:hanging="3240"/>
      </w:pPr>
    </w:lvl>
    <w:lvl w:ilvl="5">
      <w:numFmt w:val="decimal"/>
      <w:lvlText w:val="%6."/>
      <w:start w:val="1"/>
      <w:pPr>
        <w:ind w:left="4320"/>
        <w:ind w:hanging="4140"/>
      </w:pPr>
    </w:lvl>
    <w:lvl w:ilvl="6">
      <w:numFmt w:val="decimal"/>
      <w:lvlText w:val="%7."/>
      <w:start w:val="1"/>
      <w:pPr>
        <w:ind w:left="5040"/>
        <w:ind w:hanging="4680"/>
      </w:pPr>
    </w:lvl>
    <w:lvl w:ilvl="7">
      <w:numFmt w:val="decimal"/>
      <w:lvlText w:val="%8."/>
      <w:start w:val="1"/>
      <w:pPr>
        <w:ind w:left="5760"/>
        <w:ind w:hanging="5400"/>
      </w:pPr>
    </w:lvl>
    <w:lvl w:ilvl="8">
      <w:numFmt w:val="decimal"/>
      <w:lvlText w:val="%9."/>
      <w:start w:val="1"/>
      <w:pPr>
        <w:ind w:left="6480"/>
        <w:ind w:hanging="6300"/>
      </w:pPr>
    </w:lvl>
  </w:abstractNum>
  <w:num w:numId="1">
    <w:abstractNumId w:val="1"/>
  </w:num>
  <w:num w:numId="2">
    <w:abstractNumId w:val="2"/>
  </w:num>
  <w:num w:numId="10121982">
    <w:abstractNumId w:val="10121982"/>
  </w:num>
</w:numbering>
</file>

<file path=word/settings.xml><?xml version="1.0" encoding="utf-8"?>
<w:settings xmlns:a="http://schemas.openxmlformats.org/drawingml/2006/main" xmlns:c="http://schemas.openxmlformats.org/drawingml/2006/chart" xmlns:dgm="http://schemas.openxmlformats.org/drawingml/2006/diagram" xmlns:lc="http://schemas.openxmlformats.org/drawingml/2006/lockedCanvas" xmlns:m="http://schemas.openxmlformats.org/officeDocument/2006/math" xmlns:mc="http://schemas.openxmlformats.org/markup-compatibility/2006" xmlns:mo="http://schemas.microsoft.com/office/mac/office/2008/main" xmlns:mv="urn:schemas-microsoft-com:mac:vml" xmlns:o="urn:schemas-microsoft-com:office:office" xmlns:pic="http://schemas.openxmlformats.org/drawingml/2006/picture" xmlns:r="http://schemas.openxmlformats.org/officeDocument/2006/relationships" xmlns:sl="http://schemas.openxmlformats.org/schemaLibrary/2006/main" xmlns:v="urn:schemas-microsoft-com:vml" xmlns:w="http://schemas.openxmlformats.org/wordprocessingml/2006/main" xmlns:w10="urn:schemas-microsoft-com:office:word" xmlns:w14="http://schemas.microsoft.com/office/word/2010/wordml" xmlns:w15="http://schemas.microsoft.com/office/word/2012/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rsidRoot val=""/>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