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52B0" w14:textId="71223D60" w:rsidR="008F0DE2" w:rsidRDefault="005E1B88" w:rsidP="005B1004">
      <w:r>
        <w:t xml:space="preserve">In the County Court at </w:t>
      </w:r>
      <w:r w:rsidR="003509D3" w:rsidRPr="003509D3">
        <w:rPr>
          <w:b/>
          <w:bCs/>
        </w:rPr>
        <w:t>xxxxx</w:t>
      </w:r>
    </w:p>
    <w:p w14:paraId="483FB622" w14:textId="7780C9F1" w:rsidR="005E1B88" w:rsidRDefault="005E1B88" w:rsidP="005B1004">
      <w:r>
        <w:t xml:space="preserve">Claim No. </w:t>
      </w:r>
      <w:r w:rsidR="003509D3" w:rsidRPr="003509D3">
        <w:rPr>
          <w:b/>
          <w:bCs/>
        </w:rPr>
        <w:t>xxxxxx</w:t>
      </w:r>
    </w:p>
    <w:p w14:paraId="6B382A8B" w14:textId="191C3588" w:rsidR="005E1B88" w:rsidRDefault="005E1B88" w:rsidP="005B1004">
      <w:pPr>
        <w:jc w:val="center"/>
      </w:pPr>
      <w:r>
        <w:t>Between</w:t>
      </w:r>
    </w:p>
    <w:p w14:paraId="4A16AA8D" w14:textId="3E464152" w:rsidR="005E1B88" w:rsidRPr="003509D3" w:rsidRDefault="005B1004" w:rsidP="005B1004">
      <w:pPr>
        <w:jc w:val="center"/>
        <w:rPr>
          <w:b/>
          <w:bCs/>
        </w:rPr>
      </w:pPr>
      <w:r w:rsidRPr="003509D3">
        <w:rPr>
          <w:b/>
          <w:bCs/>
        </w:rPr>
        <w:t>X</w:t>
      </w:r>
      <w:r w:rsidR="003509D3" w:rsidRPr="003509D3">
        <w:rPr>
          <w:b/>
          <w:bCs/>
        </w:rPr>
        <w:t>xxxxxxx</w:t>
      </w:r>
      <w:r>
        <w:rPr>
          <w:b/>
          <w:bCs/>
        </w:rPr>
        <w:t xml:space="preserve"> (Claimant)</w:t>
      </w:r>
    </w:p>
    <w:p w14:paraId="3D559E96" w14:textId="1B107FF6" w:rsidR="005E1B88" w:rsidRDefault="005E1B88" w:rsidP="005B1004">
      <w:pPr>
        <w:jc w:val="center"/>
      </w:pPr>
      <w:r>
        <w:t>And</w:t>
      </w:r>
    </w:p>
    <w:p w14:paraId="452B1CE9" w14:textId="2EF21629" w:rsidR="005E1B88" w:rsidRPr="003509D3" w:rsidRDefault="005B1004" w:rsidP="005B1004">
      <w:pPr>
        <w:jc w:val="center"/>
        <w:rPr>
          <w:b/>
          <w:bCs/>
        </w:rPr>
      </w:pPr>
      <w:r w:rsidRPr="003509D3">
        <w:rPr>
          <w:b/>
          <w:bCs/>
        </w:rPr>
        <w:t>X</w:t>
      </w:r>
      <w:r w:rsidR="005E1B88" w:rsidRPr="003509D3">
        <w:rPr>
          <w:b/>
          <w:bCs/>
        </w:rPr>
        <w:t>xxxx</w:t>
      </w:r>
      <w:r>
        <w:rPr>
          <w:b/>
          <w:bCs/>
        </w:rPr>
        <w:t xml:space="preserve"> (Defendant)</w:t>
      </w:r>
    </w:p>
    <w:p w14:paraId="3CE4902D" w14:textId="6BFFCDD6" w:rsidR="005E1B88" w:rsidRDefault="005E1B88" w:rsidP="005B1004">
      <w:pPr>
        <w:jc w:val="center"/>
      </w:pPr>
    </w:p>
    <w:p w14:paraId="4F88755D" w14:textId="0824769A" w:rsidR="005E1B88" w:rsidRPr="005B1004" w:rsidRDefault="005E1B88" w:rsidP="005B1004">
      <w:pPr>
        <w:jc w:val="center"/>
        <w:rPr>
          <w:b/>
          <w:bCs/>
        </w:rPr>
      </w:pPr>
      <w:r w:rsidRPr="005B1004">
        <w:rPr>
          <w:b/>
          <w:bCs/>
        </w:rPr>
        <w:t>Witness Statement</w:t>
      </w:r>
      <w:r w:rsidR="005B1004" w:rsidRPr="005B1004">
        <w:rPr>
          <w:b/>
          <w:bCs/>
        </w:rPr>
        <w:t xml:space="preserve"> for Telephone Hearing on xx/xx/xxxx</w:t>
      </w:r>
    </w:p>
    <w:p w14:paraId="062EC2CA" w14:textId="4AF3781A" w:rsidR="005E1B88" w:rsidRDefault="005E1B88"/>
    <w:p w14:paraId="131E1B99" w14:textId="3B95B333" w:rsidR="005E1B88" w:rsidRDefault="005E1B88" w:rsidP="005E1B88">
      <w:pPr>
        <w:pStyle w:val="ListParagraph"/>
        <w:numPr>
          <w:ilvl w:val="0"/>
          <w:numId w:val="1"/>
        </w:numPr>
      </w:pPr>
      <w:r>
        <w:t xml:space="preserve">I am </w:t>
      </w:r>
      <w:r w:rsidRPr="005E1B88">
        <w:rPr>
          <w:b/>
          <w:bCs/>
        </w:rPr>
        <w:t>xxx xxx</w:t>
      </w:r>
      <w:r>
        <w:t>, of [</w:t>
      </w:r>
      <w:r w:rsidRPr="005E1B88">
        <w:rPr>
          <w:b/>
          <w:bCs/>
        </w:rPr>
        <w:t>Address</w:t>
      </w:r>
      <w:r>
        <w:t>], [</w:t>
      </w:r>
      <w:r w:rsidRPr="005E1B88">
        <w:rPr>
          <w:b/>
          <w:bCs/>
        </w:rPr>
        <w:t>Postcode</w:t>
      </w:r>
      <w:r>
        <w:t xml:space="preserve">], the Defendant </w:t>
      </w:r>
      <w:r w:rsidR="005B1004" w:rsidRPr="005B1004">
        <w:t>against whom this claim is made</w:t>
      </w:r>
      <w:r>
        <w:t>. I will say as follows:</w:t>
      </w:r>
    </w:p>
    <w:p w14:paraId="128337DB" w14:textId="2812A3FC" w:rsidR="005E1B88" w:rsidRDefault="005E1B88" w:rsidP="005E1B88"/>
    <w:p w14:paraId="6E29C745" w14:textId="6FF1BCC3" w:rsidR="00A42A15" w:rsidRDefault="00A42A15" w:rsidP="005E1B88">
      <w:r>
        <w:rPr>
          <w:b/>
          <w:bCs/>
          <w:u w:val="single"/>
        </w:rPr>
        <w:t>Defective Contract</w:t>
      </w:r>
    </w:p>
    <w:p w14:paraId="27E380C6" w14:textId="2A2F650A" w:rsidR="00A42A15" w:rsidRDefault="00A42A15" w:rsidP="005E1B88"/>
    <w:p w14:paraId="2440169E" w14:textId="3909D20E" w:rsidR="008B5D95" w:rsidRDefault="008B5D95" w:rsidP="008B5D95">
      <w:pPr>
        <w:pStyle w:val="ListParagraph"/>
        <w:numPr>
          <w:ilvl w:val="0"/>
          <w:numId w:val="1"/>
        </w:numPr>
      </w:pPr>
      <w:r w:rsidRPr="008B5D95">
        <w:t>Paragraph</w:t>
      </w:r>
      <w:r>
        <w:t>s</w:t>
      </w:r>
      <w:r w:rsidRPr="008B5D95">
        <w:t xml:space="preserve"> </w:t>
      </w:r>
      <w:r>
        <w:t>4</w:t>
      </w:r>
      <w:r w:rsidRPr="008B5D95">
        <w:t xml:space="preserve"> </w:t>
      </w:r>
      <w:r>
        <w:t xml:space="preserve">and 6 </w:t>
      </w:r>
      <w:r w:rsidRPr="008B5D95">
        <w:t xml:space="preserve">of </w:t>
      </w:r>
      <w:r>
        <w:t xml:space="preserve">the </w:t>
      </w:r>
      <w:r w:rsidRPr="008B5D95">
        <w:t>Claimant’s witness statement, refer to a</w:t>
      </w:r>
      <w:r>
        <w:t xml:space="preserve"> contractual</w:t>
      </w:r>
      <w:r w:rsidRPr="008B5D95">
        <w:t xml:space="preserve"> agreement with the landowner </w:t>
      </w:r>
      <w:r>
        <w:t>that</w:t>
      </w:r>
      <w:r w:rsidRPr="008B5D95">
        <w:t xml:space="preserve"> gave the Claimant authority to enforce parking charges</w:t>
      </w:r>
      <w:r w:rsidR="008E4B69">
        <w:t xml:space="preserve"> </w:t>
      </w:r>
      <w:r w:rsidR="00EC43B0">
        <w:t>(</w:t>
      </w:r>
      <w:r w:rsidR="008E4B69">
        <w:t>see [</w:t>
      </w:r>
      <w:r w:rsidR="008E4B69" w:rsidRPr="008E4B69">
        <w:rPr>
          <w:b/>
          <w:bCs/>
        </w:rPr>
        <w:t>exhibit</w:t>
      </w:r>
      <w:r w:rsidR="008E4B69">
        <w:t>]</w:t>
      </w:r>
      <w:r w:rsidR="00EC43B0">
        <w:t>)</w:t>
      </w:r>
      <w:r w:rsidRPr="008B5D95">
        <w:t xml:space="preserve">. </w:t>
      </w:r>
      <w:r>
        <w:t>The contract states that the land owner (‘</w:t>
      </w:r>
      <w:r w:rsidR="008E4B69">
        <w:t>proprietor</w:t>
      </w:r>
      <w:r>
        <w:t xml:space="preserve">’) is </w:t>
      </w:r>
      <w:r w:rsidR="006C62A1">
        <w:t>[</w:t>
      </w:r>
      <w:r w:rsidR="006C62A1" w:rsidRPr="006C62A1">
        <w:rPr>
          <w:b/>
          <w:bCs/>
        </w:rPr>
        <w:t>organisation</w:t>
      </w:r>
      <w:r w:rsidR="006C62A1">
        <w:t>]</w:t>
      </w:r>
      <w:r>
        <w:t>, an unincorporated charity.</w:t>
      </w:r>
    </w:p>
    <w:p w14:paraId="24DED49E" w14:textId="77777777" w:rsidR="008B5D95" w:rsidRDefault="008B5D95" w:rsidP="008B5D95">
      <w:pPr>
        <w:ind w:left="360"/>
      </w:pPr>
    </w:p>
    <w:p w14:paraId="12FBBBFA" w14:textId="3E07250D" w:rsidR="008B5D95" w:rsidRDefault="00EC43B0" w:rsidP="008B5D95">
      <w:pPr>
        <w:pStyle w:val="ListParagraph"/>
        <w:numPr>
          <w:ilvl w:val="0"/>
          <w:numId w:val="1"/>
        </w:numPr>
      </w:pPr>
      <w:r>
        <w:t xml:space="preserve">As the charity is not an incorporated entity under the UK Companies Act 2006, the agreement would only be valid if all of the trustees of the charity </w:t>
      </w:r>
      <w:r w:rsidR="007B7749">
        <w:t xml:space="preserve">were to </w:t>
      </w:r>
      <w:r>
        <w:t>sign</w:t>
      </w:r>
      <w:r w:rsidR="007B7749">
        <w:t xml:space="preserve"> it</w:t>
      </w:r>
      <w:r>
        <w:t xml:space="preserve"> – only one is present (and redacted) in the above-mentioned agreement.</w:t>
      </w:r>
    </w:p>
    <w:p w14:paraId="230CC9C8" w14:textId="77777777" w:rsidR="00EC43B0" w:rsidRDefault="00EC43B0" w:rsidP="00EC43B0">
      <w:pPr>
        <w:ind w:left="360"/>
      </w:pPr>
    </w:p>
    <w:p w14:paraId="3CA71154" w14:textId="33253480" w:rsidR="00EC43B0" w:rsidRDefault="00EC43B0" w:rsidP="008B5D95">
      <w:pPr>
        <w:pStyle w:val="ListParagraph"/>
        <w:numPr>
          <w:ilvl w:val="0"/>
          <w:numId w:val="1"/>
        </w:numPr>
      </w:pPr>
      <w:r>
        <w:t>Additionally, the signage in the site (see [</w:t>
      </w:r>
      <w:r w:rsidRPr="00EC43B0">
        <w:rPr>
          <w:b/>
          <w:bCs/>
        </w:rPr>
        <w:t>evidence</w:t>
      </w:r>
      <w:r>
        <w:t>]) refer</w:t>
      </w:r>
      <w:r w:rsidR="006C62A1">
        <w:t>s to permit holders only, as required by the agreement. This arguably excludes all non-permit holders</w:t>
      </w:r>
      <w:r w:rsidR="007B7749">
        <w:t>,</w:t>
      </w:r>
      <w:r w:rsidR="006C62A1">
        <w:t xml:space="preserve"> so a contract could not be granted to anyone</w:t>
      </w:r>
      <w:r w:rsidR="00053833">
        <w:t xml:space="preserve"> without already being in possession of one.</w:t>
      </w:r>
    </w:p>
    <w:p w14:paraId="346849DA" w14:textId="77777777" w:rsidR="006C62A1" w:rsidRDefault="006C62A1" w:rsidP="006C62A1">
      <w:pPr>
        <w:ind w:left="360"/>
      </w:pPr>
    </w:p>
    <w:p w14:paraId="2CDCF9CF" w14:textId="355BD5A3" w:rsidR="006C62A1" w:rsidRDefault="006C62A1" w:rsidP="008B5D95">
      <w:pPr>
        <w:pStyle w:val="ListParagraph"/>
        <w:numPr>
          <w:ilvl w:val="0"/>
          <w:numId w:val="1"/>
        </w:numPr>
      </w:pPr>
      <w:r>
        <w:t>Given the above arguments, the Defendant is of the opinion that the contract was defective and the Claimant had no authority to grant parking charges.</w:t>
      </w:r>
    </w:p>
    <w:p w14:paraId="0D3E4D7D" w14:textId="3BC066BA" w:rsidR="00A42A15" w:rsidRDefault="00A42A15" w:rsidP="005E1B88"/>
    <w:p w14:paraId="12296AED" w14:textId="0B608DC5" w:rsidR="000C1420" w:rsidRDefault="000C1420" w:rsidP="000C1420">
      <w:r>
        <w:rPr>
          <w:b/>
          <w:bCs/>
          <w:u w:val="single"/>
        </w:rPr>
        <w:t xml:space="preserve">Permit was Void for </w:t>
      </w:r>
      <w:r w:rsidR="00DC569C">
        <w:rPr>
          <w:b/>
          <w:bCs/>
          <w:u w:val="single"/>
        </w:rPr>
        <w:t>Impossibility</w:t>
      </w:r>
    </w:p>
    <w:p w14:paraId="59F7BA9F" w14:textId="77777777" w:rsidR="000C1420" w:rsidRDefault="000C1420" w:rsidP="000C1420"/>
    <w:p w14:paraId="17129583" w14:textId="1AC21350" w:rsidR="00517EBB" w:rsidRDefault="00517EBB" w:rsidP="00517EBB">
      <w:pPr>
        <w:pStyle w:val="ListParagraph"/>
        <w:numPr>
          <w:ilvl w:val="0"/>
          <w:numId w:val="1"/>
        </w:numPr>
      </w:pPr>
      <w:r>
        <w:t>Referring to the judgment Pace vs Lengyel C7GF6E3R</w:t>
      </w:r>
      <w:r>
        <w:t xml:space="preserve"> </w:t>
      </w:r>
      <w:r w:rsidRPr="00517EBB">
        <w:rPr>
          <w:b/>
          <w:bCs/>
        </w:rPr>
        <w:t>[judgement]</w:t>
      </w:r>
      <w:r>
        <w:t xml:space="preserve">, District Judge Iyer </w:t>
      </w:r>
      <w:r>
        <w:t>had to be satisfied with the following in order for the Defendant to be in breach of the terms of the contract to display a permit:</w:t>
      </w:r>
    </w:p>
    <w:p w14:paraId="5B869B79" w14:textId="2895785E" w:rsidR="00517EBB" w:rsidRDefault="00517EBB" w:rsidP="00517EBB">
      <w:pPr>
        <w:pStyle w:val="ListParagraph"/>
        <w:numPr>
          <w:ilvl w:val="1"/>
          <w:numId w:val="1"/>
        </w:numPr>
      </w:pPr>
      <w:r>
        <w:lastRenderedPageBreak/>
        <w:t>The Claimant had the authority of the owner or occupier of the site to enter into contracts with people who parked their cars in the car park.</w:t>
      </w:r>
    </w:p>
    <w:p w14:paraId="7762E91A" w14:textId="2895785E" w:rsidR="00517EBB" w:rsidRDefault="00517EBB" w:rsidP="00517EBB">
      <w:pPr>
        <w:pStyle w:val="ListParagraph"/>
        <w:numPr>
          <w:ilvl w:val="1"/>
          <w:numId w:val="1"/>
        </w:numPr>
      </w:pPr>
      <w:r>
        <w:t>The Claimant and the Defendant entered into such a contract.</w:t>
      </w:r>
    </w:p>
    <w:p w14:paraId="79AFDFC8" w14:textId="210F903D" w:rsidR="00517EBB" w:rsidRPr="004F093F" w:rsidRDefault="00517EBB" w:rsidP="00517EBB">
      <w:pPr>
        <w:pStyle w:val="ListParagraph"/>
        <w:numPr>
          <w:ilvl w:val="1"/>
          <w:numId w:val="1"/>
        </w:numPr>
      </w:pPr>
      <w:r>
        <w:t>It was a valid and enforceable contract</w:t>
      </w:r>
    </w:p>
    <w:p w14:paraId="044175D5" w14:textId="77777777" w:rsidR="00517EBB" w:rsidRDefault="00517EBB" w:rsidP="00517EBB">
      <w:pPr>
        <w:ind w:left="360"/>
      </w:pPr>
    </w:p>
    <w:p w14:paraId="019AA635" w14:textId="1B0F0350" w:rsidR="00517EBB" w:rsidRDefault="00517EBB" w:rsidP="00517EBB">
      <w:pPr>
        <w:pStyle w:val="ListParagraph"/>
        <w:numPr>
          <w:ilvl w:val="0"/>
          <w:numId w:val="1"/>
        </w:numPr>
      </w:pPr>
      <w:r>
        <w:t xml:space="preserve">Refer to my previous argument of Defective Contract (point </w:t>
      </w:r>
      <w:r w:rsidRPr="00517EBB">
        <w:rPr>
          <w:highlight w:val="yellow"/>
        </w:rPr>
        <w:t>2</w:t>
      </w:r>
      <w:r>
        <w:t xml:space="preserve">) in relation to criteria </w:t>
      </w:r>
      <w:r w:rsidR="007B7749">
        <w:t>6</w:t>
      </w:r>
      <w:r w:rsidRPr="00517EBB">
        <w:rPr>
          <w:highlight w:val="yellow"/>
        </w:rPr>
        <w:t>.1</w:t>
      </w:r>
      <w:r>
        <w:t xml:space="preserve"> above.</w:t>
      </w:r>
    </w:p>
    <w:p w14:paraId="625B2BED" w14:textId="77777777" w:rsidR="00517EBB" w:rsidRDefault="00517EBB" w:rsidP="00517EBB">
      <w:pPr>
        <w:ind w:left="360"/>
      </w:pPr>
    </w:p>
    <w:p w14:paraId="32594E27" w14:textId="327859EC" w:rsidR="00123714" w:rsidRDefault="00517EBB" w:rsidP="00517EBB">
      <w:pPr>
        <w:pStyle w:val="ListParagraph"/>
        <w:numPr>
          <w:ilvl w:val="0"/>
          <w:numId w:val="1"/>
        </w:numPr>
      </w:pPr>
      <w:r>
        <w:t xml:space="preserve">In regards to criteria </w:t>
      </w:r>
      <w:r w:rsidR="007B7749">
        <w:t>6</w:t>
      </w:r>
      <w:r w:rsidRPr="00517EBB">
        <w:rPr>
          <w:highlight w:val="yellow"/>
        </w:rPr>
        <w:t>.2</w:t>
      </w:r>
      <w:r>
        <w:t>, t</w:t>
      </w:r>
      <w:r w:rsidR="00C97805" w:rsidRPr="00C97805">
        <w:t>he Claimant</w:t>
      </w:r>
      <w:r w:rsidR="00C97805">
        <w:t xml:space="preserve"> alleges that </w:t>
      </w:r>
      <w:r w:rsidR="006C62A1">
        <w:t>the Defendant</w:t>
      </w:r>
      <w:r>
        <w:t xml:space="preserve"> </w:t>
      </w:r>
      <w:r w:rsidR="00C97805">
        <w:t>was in breach of the terms of parking stipulated on the signage thereby forming a ‘contract’, therefore leading to the penalty charge. However, referring to section 62 of the Consumer Rights Act 2015, this has to be a “fair” consumer contract. As the Supreme Court held in ParkingEye Ltd v Beavis [2013] EWCA Civ 1539 and [2015] EWCA Civ 402, the concept of fairness requires the parking firm to comply with the requirements of the relevance code of practice, being either the British Parking Association’s code or the International Parking Committee’s code.</w:t>
      </w:r>
    </w:p>
    <w:p w14:paraId="3750F89B" w14:textId="77777777" w:rsidR="00C97805" w:rsidRDefault="00C97805" w:rsidP="00C97805"/>
    <w:p w14:paraId="5DAA5805" w14:textId="1A1FA3E8" w:rsidR="00C97805" w:rsidRPr="007B618F" w:rsidRDefault="00C97805" w:rsidP="00517EBB">
      <w:pPr>
        <w:pStyle w:val="ListParagraph"/>
        <w:numPr>
          <w:ilvl w:val="0"/>
          <w:numId w:val="1"/>
        </w:numPr>
      </w:pPr>
      <w:r>
        <w:t>Par</w:t>
      </w:r>
      <w:r w:rsidR="007B618F">
        <w:t>agraph</w:t>
      </w:r>
      <w:r>
        <w:t xml:space="preserve"> 28.1 </w:t>
      </w:r>
      <w:r w:rsidR="007B618F">
        <w:t xml:space="preserve">of the former </w:t>
      </w:r>
      <w:r>
        <w:t>provides</w:t>
      </w:r>
      <w:r>
        <w:rPr>
          <w:i/>
          <w:iCs/>
        </w:rPr>
        <w:t xml:space="preserve">, “A driver who uses your private car park with your permission does so under a licence or contract with you. If they park without your permission this will usually be an act of trespass. In all cases the driver’s use of your land will be </w:t>
      </w:r>
      <w:r w:rsidR="007B618F">
        <w:rPr>
          <w:i/>
          <w:iCs/>
        </w:rPr>
        <w:t>governed</w:t>
      </w:r>
      <w:r>
        <w:rPr>
          <w:i/>
          <w:iCs/>
        </w:rPr>
        <w:t xml:space="preserve"> by your terms and conditions, which the driver</w:t>
      </w:r>
      <w:r w:rsidR="007B618F">
        <w:rPr>
          <w:i/>
          <w:iCs/>
        </w:rPr>
        <w:t xml:space="preserve"> should be made aware of from the start. You must use signs to make it easy for them to find out what your terms and conditions are.”</w:t>
      </w:r>
    </w:p>
    <w:p w14:paraId="5C950B41" w14:textId="77777777" w:rsidR="00A54047" w:rsidRDefault="00A54047" w:rsidP="00A54047">
      <w:pPr>
        <w:ind w:left="360"/>
      </w:pPr>
    </w:p>
    <w:p w14:paraId="4ADFB3B4" w14:textId="63DFC81E" w:rsidR="007B618F" w:rsidRPr="007B618F" w:rsidRDefault="007B618F" w:rsidP="00517EBB">
      <w:pPr>
        <w:pStyle w:val="ListParagraph"/>
        <w:numPr>
          <w:ilvl w:val="0"/>
          <w:numId w:val="1"/>
        </w:numPr>
      </w:pPr>
      <w:r>
        <w:t xml:space="preserve">Paragraph 2 of Part B provides, </w:t>
      </w:r>
      <w:r>
        <w:rPr>
          <w:i/>
          <w:iCs/>
        </w:rPr>
        <w:t xml:space="preserve">“2.1 Where the basis of your parking charges is based in the law of contract it will usually be by way of the driver of a </w:t>
      </w:r>
      <w:r w:rsidR="00332489">
        <w:rPr>
          <w:i/>
          <w:iCs/>
        </w:rPr>
        <w:t>vehicle</w:t>
      </w:r>
      <w:r>
        <w:rPr>
          <w:i/>
          <w:iCs/>
        </w:rPr>
        <w:t xml:space="preserve"> agreeing to contractual terms identified by signage in and around a controlled zone. It is therefore of fundamental important that the signage meets the minimum standards under The Code as this underpins the validity of any such charge. 2.2 Signs must conform to the requirements as set out in a schedule 1 to the Codes. The recommended sign has a large image of the letter “p” with the words “Pay and Display” under it, though this can be adapted to different situations.”</w:t>
      </w:r>
    </w:p>
    <w:p w14:paraId="3AE97E8D" w14:textId="77777777" w:rsidR="007B618F" w:rsidRDefault="007B618F" w:rsidP="001121E3">
      <w:pPr>
        <w:ind w:left="360"/>
      </w:pPr>
    </w:p>
    <w:p w14:paraId="3887558B" w14:textId="059EB1F1" w:rsidR="007B618F" w:rsidRDefault="007B618F" w:rsidP="00517EBB">
      <w:pPr>
        <w:pStyle w:val="ListParagraph"/>
        <w:numPr>
          <w:ilvl w:val="0"/>
          <w:numId w:val="1"/>
        </w:numPr>
      </w:pPr>
      <w:r>
        <w:t xml:space="preserve">Part E states that such signs must, </w:t>
      </w:r>
      <w:r>
        <w:rPr>
          <w:i/>
          <w:iCs/>
        </w:rPr>
        <w:t xml:space="preserve">“Have clear and intelligible wording and be designed </w:t>
      </w:r>
      <w:r w:rsidR="008F149F">
        <w:rPr>
          <w:i/>
          <w:iCs/>
        </w:rPr>
        <w:t>such that</w:t>
      </w:r>
      <w:r>
        <w:rPr>
          <w:i/>
          <w:iCs/>
        </w:rPr>
        <w:t xml:space="preserve"> it is clear to the reasonable driver that he is entering into a contract with the creditor or committing a trespass as the case may be.” </w:t>
      </w:r>
      <w:r>
        <w:t>It is an important element of both of these that the signs inform the driver the he is entering into a contract with the Claimant.</w:t>
      </w:r>
    </w:p>
    <w:p w14:paraId="3800E4CE" w14:textId="77777777" w:rsidR="007B618F" w:rsidRDefault="007B618F" w:rsidP="001121E3">
      <w:pPr>
        <w:ind w:left="360"/>
      </w:pPr>
    </w:p>
    <w:p w14:paraId="32E28B25" w14:textId="10D175AD" w:rsidR="007B618F" w:rsidRDefault="007B618F" w:rsidP="00517EBB">
      <w:pPr>
        <w:pStyle w:val="ListParagraph"/>
        <w:numPr>
          <w:ilvl w:val="0"/>
          <w:numId w:val="1"/>
        </w:numPr>
      </w:pPr>
      <w:r>
        <w:t xml:space="preserve">Referring to </w:t>
      </w:r>
      <w:r w:rsidRPr="007B618F">
        <w:rPr>
          <w:b/>
          <w:bCs/>
        </w:rPr>
        <w:t>[evidence]</w:t>
      </w:r>
      <w:r>
        <w:t>, nowhere within it does it inform the reader that by parking in the car park he is entering into a contract with the Claimant. Indeed, the word “contract</w:t>
      </w:r>
      <w:r w:rsidR="00332489">
        <w:t>” does</w:t>
      </w:r>
      <w:r>
        <w:t xml:space="preserve"> not appear at all within the sign, which merely refers </w:t>
      </w:r>
      <w:r w:rsidR="00332489">
        <w:t>that</w:t>
      </w:r>
      <w:r>
        <w:t xml:space="preserve"> </w:t>
      </w:r>
      <w:r w:rsidR="00332489">
        <w:t xml:space="preserve">by entering </w:t>
      </w:r>
      <w:r w:rsidR="004F093F">
        <w:t xml:space="preserve">the </w:t>
      </w:r>
      <w:r w:rsidR="00332489">
        <w:t xml:space="preserve">car park </w:t>
      </w:r>
      <w:r>
        <w:t xml:space="preserve">the driver </w:t>
      </w:r>
      <w:r w:rsidR="00332489">
        <w:t xml:space="preserve">will </w:t>
      </w:r>
      <w:r>
        <w:t>“</w:t>
      </w:r>
      <w:r w:rsidR="00332489">
        <w:t>agree to abide by all of the Terms and Conditions”. The phrase “terms and conditions” is not synonymous with a contract.</w:t>
      </w:r>
    </w:p>
    <w:p w14:paraId="7C1B2841" w14:textId="77777777" w:rsidR="00332489" w:rsidRDefault="00332489" w:rsidP="001121E3">
      <w:pPr>
        <w:ind w:left="360"/>
      </w:pPr>
    </w:p>
    <w:p w14:paraId="00971BC9" w14:textId="101150BE" w:rsidR="006C78D0" w:rsidRDefault="00517EBB" w:rsidP="006C78D0">
      <w:pPr>
        <w:pStyle w:val="ListParagraph"/>
        <w:numPr>
          <w:ilvl w:val="0"/>
          <w:numId w:val="1"/>
        </w:numPr>
      </w:pPr>
      <w:r>
        <w:t xml:space="preserve">In regards to criteria </w:t>
      </w:r>
      <w:r w:rsidRPr="00517EBB">
        <w:rPr>
          <w:highlight w:val="yellow"/>
        </w:rPr>
        <w:t>3.3</w:t>
      </w:r>
      <w:r>
        <w:t xml:space="preserve">, </w:t>
      </w:r>
      <w:r w:rsidR="004F093F">
        <w:t xml:space="preserve">if the Claimant is insisting that </w:t>
      </w:r>
      <w:r w:rsidR="006C62A1">
        <w:t>the Defendant</w:t>
      </w:r>
      <w:r w:rsidR="00A54047">
        <w:t xml:space="preserve"> </w:t>
      </w:r>
      <w:r w:rsidR="004F093F">
        <w:t xml:space="preserve">entered into a contract when </w:t>
      </w:r>
      <w:r w:rsidR="00A54047">
        <w:t>entering</w:t>
      </w:r>
      <w:r w:rsidR="004F093F">
        <w:t xml:space="preserve"> the site, then </w:t>
      </w:r>
      <w:r w:rsidR="004F093F" w:rsidRPr="004F093F">
        <w:t xml:space="preserve">the lack of sign at the entrance to the </w:t>
      </w:r>
      <w:r w:rsidR="004F093F">
        <w:t xml:space="preserve">car park would mean a breach as soon as </w:t>
      </w:r>
      <w:r w:rsidR="006C62A1">
        <w:t>the Defendant</w:t>
      </w:r>
      <w:r w:rsidR="007D5B88">
        <w:t xml:space="preserve"> </w:t>
      </w:r>
      <w:r w:rsidR="004F093F">
        <w:t xml:space="preserve">entered the site without any warning </w:t>
      </w:r>
      <w:r>
        <w:t xml:space="preserve">given the removed sign, see </w:t>
      </w:r>
      <w:r w:rsidRPr="00517EBB">
        <w:rPr>
          <w:b/>
          <w:bCs/>
        </w:rPr>
        <w:t>[evidence]</w:t>
      </w:r>
      <w:r>
        <w:t xml:space="preserve"> </w:t>
      </w:r>
      <w:r w:rsidR="00A54047">
        <w:t xml:space="preserve">– </w:t>
      </w:r>
      <w:r w:rsidR="004F093F">
        <w:t xml:space="preserve">as </w:t>
      </w:r>
      <w:r w:rsidR="006C62A1">
        <w:t>there</w:t>
      </w:r>
      <w:r w:rsidR="004F093F">
        <w:t xml:space="preserve"> would not </w:t>
      </w:r>
      <w:r w:rsidR="006C62A1">
        <w:t>be</w:t>
      </w:r>
      <w:r w:rsidR="004F093F">
        <w:t xml:space="preserve"> </w:t>
      </w:r>
      <w:r w:rsidR="00A54047">
        <w:t xml:space="preserve">any time to source a </w:t>
      </w:r>
      <w:r w:rsidR="004F093F">
        <w:t xml:space="preserve">permit to display. </w:t>
      </w:r>
      <w:r w:rsidR="003F77BE">
        <w:t>The inability to do this was not caused by any act or omission</w:t>
      </w:r>
      <w:r w:rsidR="00A54047">
        <w:t xml:space="preserve"> on </w:t>
      </w:r>
      <w:r w:rsidR="006C62A1">
        <w:t>the</w:t>
      </w:r>
      <w:r w:rsidR="00A54047">
        <w:t xml:space="preserve"> part</w:t>
      </w:r>
      <w:r w:rsidR="006C62A1">
        <w:t xml:space="preserve"> of the Defendant</w:t>
      </w:r>
      <w:r w:rsidR="003F77BE">
        <w:t>, but b</w:t>
      </w:r>
      <w:r w:rsidR="00A54047">
        <w:t>y</w:t>
      </w:r>
      <w:r w:rsidR="003F77BE">
        <w:t xml:space="preserve"> a state of affairs over which </w:t>
      </w:r>
      <w:r w:rsidR="006C62A1">
        <w:t>he</w:t>
      </w:r>
      <w:r w:rsidR="003F77BE">
        <w:t xml:space="preserve"> had no control. Therefore, insofar as there was any contract between the parties, </w:t>
      </w:r>
      <w:r w:rsidR="006C62A1">
        <w:t>the Defendant</w:t>
      </w:r>
      <w:r w:rsidR="003F77BE">
        <w:t xml:space="preserve"> believe</w:t>
      </w:r>
      <w:r w:rsidR="006C62A1">
        <w:t>s</w:t>
      </w:r>
      <w:r w:rsidR="003F77BE">
        <w:t xml:space="preserve"> it was invalid under the doctrine of impossibility of performance.</w:t>
      </w:r>
    </w:p>
    <w:p w14:paraId="583EB163" w14:textId="77777777" w:rsidR="00123714" w:rsidRPr="001D164C" w:rsidRDefault="00123714" w:rsidP="00123714">
      <w:pPr>
        <w:spacing w:after="210" w:line="240" w:lineRule="auto"/>
        <w:textAlignment w:val="baseline"/>
        <w:rPr>
          <w:rFonts w:ascii="inherit" w:eastAsia="Times New Roman" w:hAnsi="inherit" w:cs="Times New Roman"/>
          <w:sz w:val="21"/>
          <w:szCs w:val="21"/>
          <w:lang w:eastAsia="en-GB"/>
        </w:rPr>
      </w:pPr>
    </w:p>
    <w:p w14:paraId="66EF019F" w14:textId="0C579A7F" w:rsidR="000E6B07" w:rsidRDefault="000E6B07" w:rsidP="001D164C">
      <w:pPr>
        <w:rPr>
          <w:b/>
          <w:bCs/>
          <w:u w:val="single"/>
        </w:rPr>
      </w:pPr>
      <w:r w:rsidRPr="001D164C">
        <w:rPr>
          <w:b/>
          <w:bCs/>
          <w:u w:val="single"/>
        </w:rPr>
        <w:t xml:space="preserve">My fixed witness costs </w:t>
      </w:r>
      <w:r w:rsidR="005136F1">
        <w:rPr>
          <w:b/>
          <w:bCs/>
          <w:u w:val="single"/>
        </w:rPr>
        <w:t xml:space="preserve">– </w:t>
      </w:r>
      <w:r w:rsidRPr="001D164C">
        <w:rPr>
          <w:b/>
          <w:bCs/>
          <w:u w:val="single"/>
        </w:rPr>
        <w:t>ref PD 27, 7.3(1) and CPR 27.14</w:t>
      </w:r>
    </w:p>
    <w:p w14:paraId="56DB2A23" w14:textId="77777777" w:rsidR="001D164C" w:rsidRPr="001D164C" w:rsidRDefault="001D164C" w:rsidP="001D164C">
      <w:pPr>
        <w:rPr>
          <w:b/>
          <w:bCs/>
          <w:u w:val="single"/>
        </w:rPr>
      </w:pPr>
    </w:p>
    <w:p w14:paraId="7A1E0FB1" w14:textId="7A48DDFE" w:rsidR="000E6B07" w:rsidRPr="001D164C" w:rsidRDefault="000E6B07" w:rsidP="00517EBB">
      <w:pPr>
        <w:pStyle w:val="ListParagraph"/>
        <w:numPr>
          <w:ilvl w:val="0"/>
          <w:numId w:val="1"/>
        </w:numPr>
      </w:pPr>
      <w:r w:rsidRPr="001D164C">
        <w:t>I ask the Court at the very least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plus the court may award a set amount allowable for loss of earnings or loss of leave.</w:t>
      </w:r>
    </w:p>
    <w:p w14:paraId="1AD8B281" w14:textId="77777777" w:rsidR="000E6B07" w:rsidRPr="001D164C" w:rsidRDefault="000E6B07" w:rsidP="001D164C"/>
    <w:p w14:paraId="0644CE37" w14:textId="13FC4602" w:rsidR="000E6B07" w:rsidRPr="001D164C" w:rsidRDefault="000E6B07" w:rsidP="00517EBB">
      <w:pPr>
        <w:pStyle w:val="ListParagraph"/>
        <w:numPr>
          <w:ilvl w:val="0"/>
          <w:numId w:val="1"/>
        </w:numPr>
      </w:pPr>
      <w:r w:rsidRPr="001D164C">
        <w:t>Travel costs do not apply for a telephone hearing but the fixed sum for loss of earnings/loss of leave apply to any hearing format and are fixed at PD 27, 7.3(1) ''The amounts which a party may be ordered to pay under rule 27.14(3)(c) (loss of earnings)... are: (1) for the loss of earnings or loss of leave of each party or witness due to attending a hearing ... a sum not exceeding £95 per day for each person.''</w:t>
      </w:r>
    </w:p>
    <w:p w14:paraId="18A7D52C" w14:textId="77777777" w:rsidR="000E6B07" w:rsidRPr="001D164C" w:rsidRDefault="000E6B07" w:rsidP="001D164C"/>
    <w:p w14:paraId="7D723ABA" w14:textId="496F0266" w:rsidR="000E6B07" w:rsidRDefault="005136F1" w:rsidP="001D164C">
      <w:pPr>
        <w:rPr>
          <w:b/>
          <w:bCs/>
          <w:u w:val="single"/>
        </w:rPr>
      </w:pPr>
      <w:r>
        <w:rPr>
          <w:b/>
          <w:bCs/>
          <w:u w:val="single"/>
        </w:rPr>
        <w:t>F</w:t>
      </w:r>
      <w:r w:rsidR="000E6B07" w:rsidRPr="001D164C">
        <w:rPr>
          <w:b/>
          <w:bCs/>
          <w:u w:val="single"/>
        </w:rPr>
        <w:t>urther costs for the wholly unreasonable conduct of this Claimant</w:t>
      </w:r>
      <w:r w:rsidRPr="005136F1">
        <w:rPr>
          <w:b/>
          <w:bCs/>
          <w:u w:val="single"/>
        </w:rPr>
        <w:t xml:space="preserve"> </w:t>
      </w:r>
      <w:r>
        <w:rPr>
          <w:b/>
          <w:bCs/>
          <w:u w:val="single"/>
        </w:rPr>
        <w:t xml:space="preserve">– </w:t>
      </w:r>
      <w:r w:rsidRPr="001D164C">
        <w:rPr>
          <w:b/>
          <w:bCs/>
          <w:u w:val="single"/>
        </w:rPr>
        <w:t>CPR 44.11</w:t>
      </w:r>
    </w:p>
    <w:p w14:paraId="75CBA4AF" w14:textId="77777777" w:rsidR="001D164C" w:rsidRPr="001D164C" w:rsidRDefault="001D164C" w:rsidP="001D164C">
      <w:pPr>
        <w:rPr>
          <w:b/>
          <w:bCs/>
          <w:u w:val="single"/>
        </w:rPr>
      </w:pPr>
    </w:p>
    <w:p w14:paraId="2243DDFE" w14:textId="049117F7" w:rsidR="000E6B07" w:rsidRPr="001D164C" w:rsidRDefault="000E6B07" w:rsidP="00517EBB">
      <w:pPr>
        <w:pStyle w:val="ListParagraph"/>
        <w:numPr>
          <w:ilvl w:val="0"/>
          <w:numId w:val="1"/>
        </w:numPr>
      </w:pPr>
      <w:r w:rsidRPr="001D164C">
        <w:t>As a litigant-in-person</w:t>
      </w:r>
      <w:r w:rsidR="001D164C">
        <w:t>,</w:t>
      </w:r>
      <w:r w:rsidRPr="001D164C">
        <w:t xml:space="preserve"> I have had to learn relevant law from the ground up and spent a considerable time researching the law online, processing and preparing my defence plus this witness statement</w:t>
      </w:r>
      <w:r w:rsidR="001D164C">
        <w:t xml:space="preserve"> and related materials</w:t>
      </w:r>
      <w:r w:rsidRPr="001D164C">
        <w:t>. </w:t>
      </w:r>
      <w:r w:rsidR="001D164C">
        <w:t>My personal</w:t>
      </w:r>
      <w:r w:rsidRPr="001D164C">
        <w:t xml:space="preserve"> life has been severely impacted and this matter has been hanging over me for </w:t>
      </w:r>
      <w:r w:rsidR="001D164C">
        <w:t>2 years</w:t>
      </w:r>
      <w:r w:rsidRPr="001D164C">
        <w:t xml:space="preserve">. I am appending with this bundle, a fully detailed costs assessment </w:t>
      </w:r>
      <w:r w:rsidR="00E75889">
        <w:t>that</w:t>
      </w:r>
      <w:r w:rsidRPr="001D164C">
        <w:t xml:space="preserve"> also covers my proportionate further costs and I invite the court to consider making an award to include these, pursuant to the court's powers in relation to misconduct (CPR 44.11).</w:t>
      </w:r>
      <w:r w:rsidR="00E75889">
        <w:t xml:space="preserve"> </w:t>
      </w:r>
      <w:r w:rsidRPr="001D164C">
        <w:t xml:space="preserve">Not only could this claim have been avoided and the Claimant has no cause of action and no legitimate interest in pursuing </w:t>
      </w:r>
      <w:r w:rsidR="00E75889">
        <w:t>me</w:t>
      </w:r>
      <w:r w:rsidRPr="001D164C">
        <w:t xml:space="preserve">, relying upon the entrapment of </w:t>
      </w:r>
      <w:r w:rsidR="00E75889">
        <w:t>insufficient</w:t>
      </w:r>
      <w:r w:rsidRPr="001D164C">
        <w:t xml:space="preserve"> sign</w:t>
      </w:r>
      <w:r w:rsidR="00E75889">
        <w:t xml:space="preserve">age, </w:t>
      </w:r>
      <w:r w:rsidRPr="001D164C">
        <w:t>but it is also vexatious to pursue an inflated sum that includes double recovery.  It is my position that the Claimant's conduct in pre-and post-litigation has crossed the line of unreasonable conduct.</w:t>
      </w:r>
    </w:p>
    <w:p w14:paraId="42671234" w14:textId="77777777" w:rsidR="00502BC0" w:rsidRPr="001D164C" w:rsidRDefault="00502BC0" w:rsidP="001D164C"/>
    <w:p w14:paraId="2DB107BB" w14:textId="6AF8D271" w:rsidR="005B1004" w:rsidRPr="00E75889" w:rsidRDefault="00426648" w:rsidP="00517EBB">
      <w:pPr>
        <w:pStyle w:val="ListParagraph"/>
        <w:numPr>
          <w:ilvl w:val="0"/>
          <w:numId w:val="1"/>
        </w:numPr>
      </w:pPr>
      <w:r>
        <w:t xml:space="preserve">I Invite the Court to dismiss this claim in its entirety, and to aware my costs of attendance at the hearing, as such as are allowable pursuant to CPR 27.14, see </w:t>
      </w:r>
      <w:r w:rsidRPr="00502BC0">
        <w:rPr>
          <w:b/>
          <w:bCs/>
        </w:rPr>
        <w:t>xxxx</w:t>
      </w:r>
      <w:r>
        <w:t>.</w:t>
      </w:r>
    </w:p>
    <w:p w14:paraId="011AAB07" w14:textId="771FE6BC" w:rsidR="005E1B88" w:rsidRDefault="005E1B88"/>
    <w:p w14:paraId="1DE3A72C" w14:textId="19EA71D2" w:rsidR="005E1B88" w:rsidRPr="005E1B88" w:rsidRDefault="005E1B88">
      <w:pPr>
        <w:rPr>
          <w:b/>
          <w:bCs/>
        </w:rPr>
      </w:pPr>
      <w:r w:rsidRPr="005E1B88">
        <w:rPr>
          <w:b/>
          <w:bCs/>
        </w:rPr>
        <w:t>Statement of Truth</w:t>
      </w:r>
    </w:p>
    <w:p w14:paraId="7A79843C" w14:textId="66953155" w:rsidR="005E1B88" w:rsidRDefault="00B25A24">
      <w:r w:rsidRPr="00B25A24">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133B88EC" w14:textId="521D53BD" w:rsidR="005E1B88" w:rsidRDefault="005E1B88"/>
    <w:p w14:paraId="4A225A51" w14:textId="6F5E065F" w:rsidR="005E1B88" w:rsidRDefault="005E1B88">
      <w:r>
        <w:t>Defendant’s signature:</w:t>
      </w:r>
    </w:p>
    <w:p w14:paraId="05274F98" w14:textId="1A2153F3" w:rsidR="005E1B88" w:rsidRDefault="005E1B88">
      <w:r>
        <w:t>Defendant’s name:</w:t>
      </w:r>
    </w:p>
    <w:p w14:paraId="0B9E511F" w14:textId="207EE73A" w:rsidR="005E1B88" w:rsidRDefault="005E1B88">
      <w:r>
        <w:t>Date</w:t>
      </w:r>
    </w:p>
    <w:sectPr w:rsidR="005E1B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D6D76"/>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FF71CFF"/>
    <w:multiLevelType w:val="hybridMultilevel"/>
    <w:tmpl w:val="21868E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910A3C"/>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C325F14"/>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EE23E00"/>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FE77E7B"/>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DA448CC"/>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1"/>
  </w:num>
  <w:num w:numId="3">
    <w:abstractNumId w:val="3"/>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B88"/>
    <w:rsid w:val="00053833"/>
    <w:rsid w:val="000952E8"/>
    <w:rsid w:val="000C1420"/>
    <w:rsid w:val="000C182B"/>
    <w:rsid w:val="000C6D16"/>
    <w:rsid w:val="000E6B07"/>
    <w:rsid w:val="001121E3"/>
    <w:rsid w:val="00114A44"/>
    <w:rsid w:val="00123714"/>
    <w:rsid w:val="001D164C"/>
    <w:rsid w:val="00271EFA"/>
    <w:rsid w:val="00332489"/>
    <w:rsid w:val="003343BC"/>
    <w:rsid w:val="003509D3"/>
    <w:rsid w:val="003A358B"/>
    <w:rsid w:val="003F77BE"/>
    <w:rsid w:val="00410214"/>
    <w:rsid w:val="00426648"/>
    <w:rsid w:val="004F093F"/>
    <w:rsid w:val="00502BC0"/>
    <w:rsid w:val="005136F1"/>
    <w:rsid w:val="00517EBB"/>
    <w:rsid w:val="005714F0"/>
    <w:rsid w:val="005B1004"/>
    <w:rsid w:val="005C70A7"/>
    <w:rsid w:val="005D08A3"/>
    <w:rsid w:val="005E1B88"/>
    <w:rsid w:val="006C62A1"/>
    <w:rsid w:val="006C78D0"/>
    <w:rsid w:val="006E0F3C"/>
    <w:rsid w:val="007B618F"/>
    <w:rsid w:val="007B7749"/>
    <w:rsid w:val="007D5B88"/>
    <w:rsid w:val="008B5D95"/>
    <w:rsid w:val="008E4B69"/>
    <w:rsid w:val="008F149F"/>
    <w:rsid w:val="0094588E"/>
    <w:rsid w:val="00961CFD"/>
    <w:rsid w:val="00A13520"/>
    <w:rsid w:val="00A37659"/>
    <w:rsid w:val="00A42A15"/>
    <w:rsid w:val="00A54047"/>
    <w:rsid w:val="00A8417A"/>
    <w:rsid w:val="00AA7990"/>
    <w:rsid w:val="00AC667C"/>
    <w:rsid w:val="00B03709"/>
    <w:rsid w:val="00B25A24"/>
    <w:rsid w:val="00C65137"/>
    <w:rsid w:val="00C97805"/>
    <w:rsid w:val="00D34796"/>
    <w:rsid w:val="00D85563"/>
    <w:rsid w:val="00DC569C"/>
    <w:rsid w:val="00E00334"/>
    <w:rsid w:val="00E75889"/>
    <w:rsid w:val="00EC43B0"/>
    <w:rsid w:val="00F27430"/>
    <w:rsid w:val="00F461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6F6F8"/>
  <w15:chartTrackingRefBased/>
  <w15:docId w15:val="{9CB32CA0-60F4-4A14-A41D-4DDB1D45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B88"/>
    <w:pPr>
      <w:ind w:left="720"/>
      <w:contextualSpacing/>
    </w:pPr>
  </w:style>
  <w:style w:type="paragraph" w:styleId="NormalWeb">
    <w:name w:val="Normal (Web)"/>
    <w:basedOn w:val="Normal"/>
    <w:uiPriority w:val="99"/>
    <w:semiHidden/>
    <w:unhideWhenUsed/>
    <w:rsid w:val="005B100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5316768">
      <w:bodyDiv w:val="1"/>
      <w:marLeft w:val="0"/>
      <w:marRight w:val="0"/>
      <w:marTop w:val="0"/>
      <w:marBottom w:val="0"/>
      <w:divBdr>
        <w:top w:val="none" w:sz="0" w:space="0" w:color="auto"/>
        <w:left w:val="none" w:sz="0" w:space="0" w:color="auto"/>
        <w:bottom w:val="none" w:sz="0" w:space="0" w:color="auto"/>
        <w:right w:val="none" w:sz="0" w:space="0" w:color="auto"/>
      </w:divBdr>
    </w:div>
    <w:div w:id="595984414">
      <w:bodyDiv w:val="1"/>
      <w:marLeft w:val="0"/>
      <w:marRight w:val="0"/>
      <w:marTop w:val="0"/>
      <w:marBottom w:val="0"/>
      <w:divBdr>
        <w:top w:val="none" w:sz="0" w:space="0" w:color="auto"/>
        <w:left w:val="none" w:sz="0" w:space="0" w:color="auto"/>
        <w:bottom w:val="none" w:sz="0" w:space="0" w:color="auto"/>
        <w:right w:val="none" w:sz="0" w:space="0" w:color="auto"/>
      </w:divBdr>
    </w:div>
    <w:div w:id="1026901950">
      <w:bodyDiv w:val="1"/>
      <w:marLeft w:val="0"/>
      <w:marRight w:val="0"/>
      <w:marTop w:val="0"/>
      <w:marBottom w:val="0"/>
      <w:divBdr>
        <w:top w:val="none" w:sz="0" w:space="0" w:color="auto"/>
        <w:left w:val="none" w:sz="0" w:space="0" w:color="auto"/>
        <w:bottom w:val="none" w:sz="0" w:space="0" w:color="auto"/>
        <w:right w:val="none" w:sz="0" w:space="0" w:color="auto"/>
      </w:divBdr>
      <w:divsChild>
        <w:div w:id="318309543">
          <w:marLeft w:val="0"/>
          <w:marRight w:val="0"/>
          <w:marTop w:val="0"/>
          <w:marBottom w:val="210"/>
          <w:divBdr>
            <w:top w:val="none" w:sz="0" w:space="0" w:color="auto"/>
            <w:left w:val="none" w:sz="0" w:space="0" w:color="auto"/>
            <w:bottom w:val="none" w:sz="0" w:space="0" w:color="auto"/>
            <w:right w:val="none" w:sz="0" w:space="0" w:color="auto"/>
          </w:divBdr>
        </w:div>
        <w:div w:id="121575940">
          <w:marLeft w:val="0"/>
          <w:marRight w:val="0"/>
          <w:marTop w:val="0"/>
          <w:marBottom w:val="210"/>
          <w:divBdr>
            <w:top w:val="none" w:sz="0" w:space="0" w:color="auto"/>
            <w:left w:val="none" w:sz="0" w:space="0" w:color="auto"/>
            <w:bottom w:val="none" w:sz="0" w:space="0" w:color="auto"/>
            <w:right w:val="none" w:sz="0" w:space="0" w:color="auto"/>
          </w:divBdr>
        </w:div>
        <w:div w:id="267589314">
          <w:marLeft w:val="0"/>
          <w:marRight w:val="0"/>
          <w:marTop w:val="0"/>
          <w:marBottom w:val="210"/>
          <w:divBdr>
            <w:top w:val="none" w:sz="0" w:space="0" w:color="auto"/>
            <w:left w:val="none" w:sz="0" w:space="0" w:color="auto"/>
            <w:bottom w:val="none" w:sz="0" w:space="0" w:color="auto"/>
            <w:right w:val="none" w:sz="0" w:space="0" w:color="auto"/>
          </w:divBdr>
        </w:div>
        <w:div w:id="740373134">
          <w:marLeft w:val="0"/>
          <w:marRight w:val="0"/>
          <w:marTop w:val="0"/>
          <w:marBottom w:val="210"/>
          <w:divBdr>
            <w:top w:val="none" w:sz="0" w:space="0" w:color="auto"/>
            <w:left w:val="none" w:sz="0" w:space="0" w:color="auto"/>
            <w:bottom w:val="none" w:sz="0" w:space="0" w:color="auto"/>
            <w:right w:val="none" w:sz="0" w:space="0" w:color="auto"/>
          </w:divBdr>
        </w:div>
        <w:div w:id="2080665543">
          <w:marLeft w:val="0"/>
          <w:marRight w:val="0"/>
          <w:marTop w:val="0"/>
          <w:marBottom w:val="210"/>
          <w:divBdr>
            <w:top w:val="none" w:sz="0" w:space="0" w:color="auto"/>
            <w:left w:val="none" w:sz="0" w:space="0" w:color="auto"/>
            <w:bottom w:val="none" w:sz="0" w:space="0" w:color="auto"/>
            <w:right w:val="none" w:sz="0" w:space="0" w:color="auto"/>
          </w:divBdr>
        </w:div>
        <w:div w:id="1060831817">
          <w:marLeft w:val="0"/>
          <w:marRight w:val="0"/>
          <w:marTop w:val="0"/>
          <w:marBottom w:val="210"/>
          <w:divBdr>
            <w:top w:val="none" w:sz="0" w:space="0" w:color="auto"/>
            <w:left w:val="none" w:sz="0" w:space="0" w:color="auto"/>
            <w:bottom w:val="none" w:sz="0" w:space="0" w:color="auto"/>
            <w:right w:val="none" w:sz="0" w:space="0" w:color="auto"/>
          </w:divBdr>
        </w:div>
        <w:div w:id="849443243">
          <w:marLeft w:val="0"/>
          <w:marRight w:val="0"/>
          <w:marTop w:val="0"/>
          <w:marBottom w:val="210"/>
          <w:divBdr>
            <w:top w:val="none" w:sz="0" w:space="0" w:color="auto"/>
            <w:left w:val="none" w:sz="0" w:space="0" w:color="auto"/>
            <w:bottom w:val="none" w:sz="0" w:space="0" w:color="auto"/>
            <w:right w:val="none" w:sz="0" w:space="0" w:color="auto"/>
          </w:divBdr>
        </w:div>
        <w:div w:id="926303232">
          <w:marLeft w:val="0"/>
          <w:marRight w:val="0"/>
          <w:marTop w:val="0"/>
          <w:marBottom w:val="210"/>
          <w:divBdr>
            <w:top w:val="none" w:sz="0" w:space="0" w:color="auto"/>
            <w:left w:val="none" w:sz="0" w:space="0" w:color="auto"/>
            <w:bottom w:val="none" w:sz="0" w:space="0" w:color="auto"/>
            <w:right w:val="none" w:sz="0" w:space="0" w:color="auto"/>
          </w:divBdr>
        </w:div>
        <w:div w:id="1239249252">
          <w:marLeft w:val="0"/>
          <w:marRight w:val="0"/>
          <w:marTop w:val="0"/>
          <w:marBottom w:val="210"/>
          <w:divBdr>
            <w:top w:val="none" w:sz="0" w:space="0" w:color="auto"/>
            <w:left w:val="none" w:sz="0" w:space="0" w:color="auto"/>
            <w:bottom w:val="none" w:sz="0" w:space="0" w:color="auto"/>
            <w:right w:val="none" w:sz="0" w:space="0" w:color="auto"/>
          </w:divBdr>
        </w:div>
        <w:div w:id="650671291">
          <w:marLeft w:val="0"/>
          <w:marRight w:val="0"/>
          <w:marTop w:val="0"/>
          <w:marBottom w:val="210"/>
          <w:divBdr>
            <w:top w:val="none" w:sz="0" w:space="0" w:color="auto"/>
            <w:left w:val="none" w:sz="0" w:space="0" w:color="auto"/>
            <w:bottom w:val="none" w:sz="0" w:space="0" w:color="auto"/>
            <w:right w:val="none" w:sz="0" w:space="0" w:color="auto"/>
          </w:divBdr>
        </w:div>
        <w:div w:id="1572275801">
          <w:marLeft w:val="0"/>
          <w:marRight w:val="0"/>
          <w:marTop w:val="0"/>
          <w:marBottom w:val="210"/>
          <w:divBdr>
            <w:top w:val="none" w:sz="0" w:space="0" w:color="auto"/>
            <w:left w:val="none" w:sz="0" w:space="0" w:color="auto"/>
            <w:bottom w:val="none" w:sz="0" w:space="0" w:color="auto"/>
            <w:right w:val="none" w:sz="0" w:space="0" w:color="auto"/>
          </w:divBdr>
        </w:div>
        <w:div w:id="552810674">
          <w:marLeft w:val="0"/>
          <w:marRight w:val="0"/>
          <w:marTop w:val="0"/>
          <w:marBottom w:val="210"/>
          <w:divBdr>
            <w:top w:val="none" w:sz="0" w:space="0" w:color="auto"/>
            <w:left w:val="none" w:sz="0" w:space="0" w:color="auto"/>
            <w:bottom w:val="none" w:sz="0" w:space="0" w:color="auto"/>
            <w:right w:val="none" w:sz="0" w:space="0" w:color="auto"/>
          </w:divBdr>
        </w:div>
        <w:div w:id="688063688">
          <w:marLeft w:val="0"/>
          <w:marRight w:val="0"/>
          <w:marTop w:val="0"/>
          <w:marBottom w:val="210"/>
          <w:divBdr>
            <w:top w:val="none" w:sz="0" w:space="0" w:color="auto"/>
            <w:left w:val="none" w:sz="0" w:space="0" w:color="auto"/>
            <w:bottom w:val="none" w:sz="0" w:space="0" w:color="auto"/>
            <w:right w:val="none" w:sz="0" w:space="0" w:color="auto"/>
          </w:divBdr>
        </w:div>
        <w:div w:id="1842549566">
          <w:marLeft w:val="0"/>
          <w:marRight w:val="0"/>
          <w:marTop w:val="0"/>
          <w:marBottom w:val="210"/>
          <w:divBdr>
            <w:top w:val="none" w:sz="0" w:space="0" w:color="auto"/>
            <w:left w:val="none" w:sz="0" w:space="0" w:color="auto"/>
            <w:bottom w:val="none" w:sz="0" w:space="0" w:color="auto"/>
            <w:right w:val="none" w:sz="0" w:space="0" w:color="auto"/>
          </w:divBdr>
        </w:div>
        <w:div w:id="820778829">
          <w:marLeft w:val="0"/>
          <w:marRight w:val="0"/>
          <w:marTop w:val="0"/>
          <w:marBottom w:val="210"/>
          <w:divBdr>
            <w:top w:val="none" w:sz="0" w:space="0" w:color="auto"/>
            <w:left w:val="none" w:sz="0" w:space="0" w:color="auto"/>
            <w:bottom w:val="none" w:sz="0" w:space="0" w:color="auto"/>
            <w:right w:val="none" w:sz="0" w:space="0" w:color="auto"/>
          </w:divBdr>
        </w:div>
        <w:div w:id="1884560565">
          <w:marLeft w:val="0"/>
          <w:marRight w:val="0"/>
          <w:marTop w:val="0"/>
          <w:marBottom w:val="210"/>
          <w:divBdr>
            <w:top w:val="none" w:sz="0" w:space="0" w:color="auto"/>
            <w:left w:val="none" w:sz="0" w:space="0" w:color="auto"/>
            <w:bottom w:val="none" w:sz="0" w:space="0" w:color="auto"/>
            <w:right w:val="none" w:sz="0" w:space="0" w:color="auto"/>
          </w:divBdr>
        </w:div>
        <w:div w:id="1403793421">
          <w:marLeft w:val="0"/>
          <w:marRight w:val="0"/>
          <w:marTop w:val="0"/>
          <w:marBottom w:val="210"/>
          <w:divBdr>
            <w:top w:val="none" w:sz="0" w:space="0" w:color="auto"/>
            <w:left w:val="none" w:sz="0" w:space="0" w:color="auto"/>
            <w:bottom w:val="none" w:sz="0" w:space="0" w:color="auto"/>
            <w:right w:val="none" w:sz="0" w:space="0" w:color="auto"/>
          </w:divBdr>
        </w:div>
        <w:div w:id="1955672737">
          <w:marLeft w:val="0"/>
          <w:marRight w:val="0"/>
          <w:marTop w:val="0"/>
          <w:marBottom w:val="210"/>
          <w:divBdr>
            <w:top w:val="none" w:sz="0" w:space="0" w:color="auto"/>
            <w:left w:val="none" w:sz="0" w:space="0" w:color="auto"/>
            <w:bottom w:val="none" w:sz="0" w:space="0" w:color="auto"/>
            <w:right w:val="none" w:sz="0" w:space="0" w:color="auto"/>
          </w:divBdr>
        </w:div>
        <w:div w:id="1686594068">
          <w:marLeft w:val="0"/>
          <w:marRight w:val="0"/>
          <w:marTop w:val="0"/>
          <w:marBottom w:val="210"/>
          <w:divBdr>
            <w:top w:val="none" w:sz="0" w:space="0" w:color="auto"/>
            <w:left w:val="none" w:sz="0" w:space="0" w:color="auto"/>
            <w:bottom w:val="none" w:sz="0" w:space="0" w:color="auto"/>
            <w:right w:val="none" w:sz="0" w:space="0" w:color="auto"/>
          </w:divBdr>
        </w:div>
        <w:div w:id="1281104637">
          <w:marLeft w:val="0"/>
          <w:marRight w:val="0"/>
          <w:marTop w:val="0"/>
          <w:marBottom w:val="210"/>
          <w:divBdr>
            <w:top w:val="none" w:sz="0" w:space="0" w:color="auto"/>
            <w:left w:val="none" w:sz="0" w:space="0" w:color="auto"/>
            <w:bottom w:val="none" w:sz="0" w:space="0" w:color="auto"/>
            <w:right w:val="none" w:sz="0" w:space="0" w:color="auto"/>
          </w:divBdr>
        </w:div>
        <w:div w:id="2104372164">
          <w:marLeft w:val="0"/>
          <w:marRight w:val="0"/>
          <w:marTop w:val="0"/>
          <w:marBottom w:val="210"/>
          <w:divBdr>
            <w:top w:val="none" w:sz="0" w:space="0" w:color="auto"/>
            <w:left w:val="none" w:sz="0" w:space="0" w:color="auto"/>
            <w:bottom w:val="none" w:sz="0" w:space="0" w:color="auto"/>
            <w:right w:val="none" w:sz="0" w:space="0" w:color="auto"/>
          </w:divBdr>
        </w:div>
        <w:div w:id="35084037">
          <w:marLeft w:val="0"/>
          <w:marRight w:val="0"/>
          <w:marTop w:val="0"/>
          <w:marBottom w:val="210"/>
          <w:divBdr>
            <w:top w:val="none" w:sz="0" w:space="0" w:color="auto"/>
            <w:left w:val="none" w:sz="0" w:space="0" w:color="auto"/>
            <w:bottom w:val="none" w:sz="0" w:space="0" w:color="auto"/>
            <w:right w:val="none" w:sz="0" w:space="0" w:color="auto"/>
          </w:divBdr>
        </w:div>
      </w:divsChild>
    </w:div>
    <w:div w:id="1235120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4</Pages>
  <Words>1122</Words>
  <Characters>6400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Rio</dc:creator>
  <cp:keywords/>
  <dc:description/>
  <cp:lastModifiedBy>Jon Rio</cp:lastModifiedBy>
  <cp:revision>6</cp:revision>
  <dcterms:created xsi:type="dcterms:W3CDTF">2020-09-15T17:41:00Z</dcterms:created>
  <dcterms:modified xsi:type="dcterms:W3CDTF">2020-09-15T21:22:00Z</dcterms:modified>
</cp:coreProperties>
</file>